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4442" w:rsidRDefault="00D26412">
      <w:pPr>
        <w:widowControl w:val="0"/>
        <w:autoSpaceDE/>
        <w:autoSpaceDN/>
        <w:adjustRightInd/>
        <w:snapToGrid/>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附 件1：</w:t>
      </w:r>
    </w:p>
    <w:p w:rsidR="00214442" w:rsidRDefault="00214442"/>
    <w:p w:rsidR="00214442" w:rsidRDefault="00214442"/>
    <w:p w:rsidR="00214442" w:rsidRDefault="00F102AF">
      <w:pPr>
        <w:widowControl w:val="0"/>
        <w:kinsoku/>
        <w:autoSpaceDE/>
        <w:autoSpaceDN/>
        <w:adjustRightInd/>
        <w:snapToGrid/>
        <w:jc w:val="center"/>
        <w:textAlignment w:val="auto"/>
        <w:rPr>
          <w:rFonts w:ascii="黑体" w:eastAsia="黑体" w:hAnsi="Times New Roman" w:cs="Times New Roman"/>
          <w:snapToGrid/>
          <w:kern w:val="2"/>
          <w:sz w:val="44"/>
          <w:szCs w:val="36"/>
        </w:rPr>
      </w:pPr>
      <w:r>
        <w:rPr>
          <w:rFonts w:ascii="黑体" w:eastAsia="黑体" w:hint="eastAsia"/>
          <w:sz w:val="44"/>
          <w:szCs w:val="36"/>
        </w:rPr>
        <w:t>区卫生健康委本级</w:t>
      </w:r>
      <w:r w:rsidR="00D26412">
        <w:rPr>
          <w:rFonts w:ascii="黑体" w:eastAsia="黑体" w:hAnsi="Times New Roman" w:cs="Times New Roman" w:hint="eastAsia"/>
          <w:snapToGrid/>
          <w:kern w:val="2"/>
          <w:sz w:val="44"/>
          <w:szCs w:val="36"/>
        </w:rPr>
        <w:t>2021年度部门决算</w:t>
      </w:r>
    </w:p>
    <w:p w:rsidR="00214442" w:rsidRDefault="00214442"/>
    <w:p w:rsidR="00214442" w:rsidRDefault="00214442"/>
    <w:p w:rsidR="00214442" w:rsidRDefault="00D26412">
      <w:pPr>
        <w:widowControl w:val="0"/>
        <w:kinsoku/>
        <w:autoSpaceDE/>
        <w:autoSpaceDN/>
        <w:adjustRightInd/>
        <w:snapToGrid/>
        <w:jc w:val="center"/>
        <w:textAlignment w:val="auto"/>
        <w:rPr>
          <w:rFonts w:ascii="黑体" w:eastAsia="黑体" w:hAnsi="Times New Roman" w:cs="Times New Roman"/>
          <w:snapToGrid/>
          <w:kern w:val="2"/>
          <w:sz w:val="40"/>
          <w:szCs w:val="36"/>
        </w:rPr>
      </w:pPr>
      <w:r>
        <w:rPr>
          <w:rFonts w:ascii="黑体" w:eastAsia="黑体" w:hAnsi="Times New Roman" w:cs="Times New Roman" w:hint="eastAsia"/>
          <w:snapToGrid/>
          <w:kern w:val="2"/>
          <w:sz w:val="40"/>
          <w:szCs w:val="36"/>
        </w:rPr>
        <w:t>目     录</w:t>
      </w:r>
    </w:p>
    <w:p w:rsidR="00214442" w:rsidRDefault="00214442">
      <w:pPr>
        <w:widowControl w:val="0"/>
        <w:kinsoku/>
        <w:autoSpaceDE/>
        <w:autoSpaceDN/>
        <w:adjustRightInd/>
        <w:snapToGrid/>
        <w:jc w:val="center"/>
        <w:textAlignment w:val="auto"/>
        <w:rPr>
          <w:rFonts w:ascii="黑体" w:eastAsia="黑体" w:hAnsi="Times New Roman" w:cs="Times New Roman"/>
          <w:snapToGrid/>
          <w:kern w:val="2"/>
          <w:sz w:val="40"/>
          <w:szCs w:val="36"/>
        </w:rPr>
      </w:pPr>
    </w:p>
    <w:p w:rsidR="00214442" w:rsidRDefault="00D26412">
      <w:pPr>
        <w:widowControl w:val="0"/>
        <w:autoSpaceDE/>
        <w:autoSpaceDN/>
        <w:adjustRightInd/>
        <w:snapToGrid/>
        <w:ind w:firstLine="640"/>
        <w:textAlignment w:val="center"/>
        <w:rPr>
          <w:rFonts w:ascii="黑体" w:eastAsia="黑体" w:hAnsi="黑体" w:cs="Times New Roman"/>
          <w:b/>
          <w:snapToGrid/>
          <w:kern w:val="2"/>
          <w:sz w:val="32"/>
          <w:szCs w:val="32"/>
        </w:rPr>
      </w:pPr>
      <w:r>
        <w:rPr>
          <w:rFonts w:ascii="黑体" w:eastAsia="黑体" w:hAnsi="黑体" w:cs="Times New Roman" w:hint="eastAsia"/>
          <w:b/>
          <w:snapToGrid/>
          <w:kern w:val="2"/>
          <w:sz w:val="32"/>
          <w:szCs w:val="32"/>
        </w:rPr>
        <w:t xml:space="preserve">第一部分  </w:t>
      </w:r>
      <w:r w:rsidR="00F102AF" w:rsidRPr="006C762E">
        <w:rPr>
          <w:rFonts w:ascii="黑体" w:eastAsia="黑体" w:hAnsi="黑体" w:hint="eastAsia"/>
          <w:b/>
          <w:sz w:val="32"/>
          <w:szCs w:val="32"/>
        </w:rPr>
        <w:t>区</w:t>
      </w:r>
      <w:r w:rsidR="00F102AF">
        <w:rPr>
          <w:rFonts w:ascii="黑体" w:eastAsia="黑体" w:hAnsi="黑体" w:hint="eastAsia"/>
          <w:b/>
          <w:sz w:val="32"/>
          <w:szCs w:val="32"/>
        </w:rPr>
        <w:t>卫生健康委部门</w:t>
      </w:r>
      <w:r>
        <w:rPr>
          <w:rFonts w:ascii="黑体" w:eastAsia="黑体" w:hAnsi="黑体" w:cs="Times New Roman" w:hint="eastAsia"/>
          <w:b/>
          <w:snapToGrid/>
          <w:kern w:val="2"/>
          <w:sz w:val="32"/>
          <w:szCs w:val="32"/>
        </w:rPr>
        <w:t>概况</w:t>
      </w:r>
    </w:p>
    <w:p w:rsidR="00214442" w:rsidRDefault="00D26412" w:rsidP="00E75860">
      <w:pPr>
        <w:widowControl w:val="0"/>
        <w:autoSpaceDE/>
        <w:autoSpaceDN/>
        <w:adjustRightInd/>
        <w:snapToGrid/>
        <w:ind w:firstLineChars="200" w:firstLine="604"/>
        <w:textAlignment w:val="center"/>
        <w:rPr>
          <w:rFonts w:ascii="仿宋" w:eastAsia="仿宋" w:hAnsi="仿宋" w:cs="Times New Roman"/>
          <w:snapToGrid/>
          <w:kern w:val="2"/>
          <w:sz w:val="32"/>
          <w:szCs w:val="30"/>
        </w:rPr>
      </w:pPr>
      <w:r>
        <w:rPr>
          <w:rFonts w:ascii="仿宋" w:eastAsia="仿宋" w:hAnsi="仿宋" w:cs="仿宋"/>
          <w:spacing w:val="11"/>
          <w:sz w:val="28"/>
          <w:szCs w:val="28"/>
        </w:rPr>
        <w:t>一、</w:t>
      </w:r>
      <w:r>
        <w:rPr>
          <w:rFonts w:ascii="仿宋" w:eastAsia="仿宋" w:hAnsi="仿宋" w:cs="Times New Roman" w:hint="eastAsia"/>
          <w:snapToGrid/>
          <w:kern w:val="2"/>
          <w:sz w:val="32"/>
          <w:szCs w:val="30"/>
        </w:rPr>
        <w:t>部门主要职责</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二、部门基本情况</w:t>
      </w:r>
    </w:p>
    <w:p w:rsidR="00214442" w:rsidRDefault="00D26412">
      <w:pPr>
        <w:widowControl w:val="0"/>
        <w:autoSpaceDE/>
        <w:autoSpaceDN/>
        <w:adjustRightInd/>
        <w:snapToGrid/>
        <w:ind w:firstLine="640"/>
        <w:textAlignment w:val="center"/>
        <w:rPr>
          <w:rFonts w:ascii="黑体" w:eastAsia="黑体" w:hAnsi="黑体" w:cs="Times New Roman"/>
          <w:b/>
          <w:snapToGrid/>
          <w:kern w:val="2"/>
          <w:sz w:val="32"/>
          <w:szCs w:val="32"/>
        </w:rPr>
      </w:pPr>
      <w:r>
        <w:rPr>
          <w:rFonts w:ascii="黑体" w:eastAsia="黑体" w:hAnsi="黑体" w:cs="Times New Roman" w:hint="eastAsia"/>
          <w:b/>
          <w:snapToGrid/>
          <w:kern w:val="2"/>
          <w:sz w:val="32"/>
          <w:szCs w:val="32"/>
        </w:rPr>
        <w:t>第二部分  2021年度部门决算表</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一、收入支出决算总表</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二、收入决算表</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三、支出决算表</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四、财政拨款收入支出决算总表</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五、一般公共预算财政拨款支出决算表</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六、一般公共预算财政拨款基本支出决算表</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七、一般公共预算财政拨款“三公”经费支出决算表</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八、政府性基金预算财政拨款收入支出决算表</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九、国有资本经营预算财政拨款收入支出决算表</w:t>
      </w:r>
    </w:p>
    <w:p w:rsidR="00214442" w:rsidRDefault="00D26412">
      <w:pPr>
        <w:widowControl w:val="0"/>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十、国有资产占用情况表</w:t>
      </w:r>
    </w:p>
    <w:p w:rsidR="00214442" w:rsidRDefault="00D26412">
      <w:pPr>
        <w:widowControl w:val="0"/>
        <w:ind w:leftChars="304" w:left="638" w:firstLineChars="103" w:firstLine="331"/>
        <w:textAlignment w:val="center"/>
        <w:rPr>
          <w:rFonts w:ascii="仿宋" w:eastAsia="仿宋" w:hAnsi="仿宋" w:cs="Times New Roman"/>
          <w:snapToGrid/>
          <w:kern w:val="2"/>
          <w:sz w:val="32"/>
          <w:szCs w:val="30"/>
        </w:rPr>
      </w:pPr>
      <w:r>
        <w:rPr>
          <w:rFonts w:ascii="黑体" w:eastAsia="黑体" w:hAnsi="黑体" w:cs="Times New Roman" w:hint="eastAsia"/>
          <w:b/>
          <w:snapToGrid/>
          <w:kern w:val="2"/>
          <w:sz w:val="32"/>
          <w:szCs w:val="32"/>
        </w:rPr>
        <w:t>第三部分  2021年度部门决算情况说明</w:t>
      </w:r>
      <w:r>
        <w:rPr>
          <w:rFonts w:ascii="黑体" w:eastAsia="黑体" w:hAnsi="黑体" w:cs="Times New Roman" w:hint="eastAsia"/>
          <w:b/>
          <w:snapToGrid/>
          <w:kern w:val="2"/>
          <w:sz w:val="32"/>
          <w:szCs w:val="32"/>
        </w:rPr>
        <w:br/>
      </w:r>
      <w:r>
        <w:rPr>
          <w:rFonts w:ascii="仿宋" w:eastAsia="仿宋" w:hAnsi="仿宋" w:cs="Times New Roman" w:hint="eastAsia"/>
          <w:snapToGrid/>
          <w:kern w:val="2"/>
          <w:sz w:val="32"/>
          <w:szCs w:val="30"/>
        </w:rPr>
        <w:t>一、收入决算情况说明</w:t>
      </w:r>
    </w:p>
    <w:p w:rsidR="00214442" w:rsidRDefault="00D26412">
      <w:pPr>
        <w:widowControl w:val="0"/>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二、支出决算情况说明</w:t>
      </w:r>
    </w:p>
    <w:p w:rsidR="00214442" w:rsidRDefault="00D26412">
      <w:pPr>
        <w:widowControl w:val="0"/>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三、财政拨款支出决算情况说明</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四、一般公共预算财政拨款基本支出决算情况说明</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五、一般公共预算财政拨款“三公”经费支出决算 情况说明</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六、机关运行经费支出情况说明</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七、政府采购支出情况说明</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八、国有资产占用情况说明</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九、预算绩效情况说明</w:t>
      </w:r>
    </w:p>
    <w:p w:rsidR="00214442" w:rsidRDefault="00D26412">
      <w:pPr>
        <w:widowControl w:val="0"/>
        <w:autoSpaceDE/>
        <w:autoSpaceDN/>
        <w:adjustRightInd/>
        <w:snapToGrid/>
        <w:ind w:firstLine="640"/>
        <w:textAlignment w:val="center"/>
        <w:rPr>
          <w:rFonts w:ascii="黑体" w:eastAsia="黑体" w:hAnsi="黑体" w:cs="Times New Roman"/>
          <w:b/>
          <w:snapToGrid/>
          <w:kern w:val="2"/>
          <w:sz w:val="32"/>
          <w:szCs w:val="32"/>
        </w:rPr>
        <w:sectPr w:rsidR="00214442">
          <w:footerReference w:type="default" r:id="rId7"/>
          <w:pgSz w:w="11940" w:h="16870"/>
          <w:pgMar w:top="1433" w:right="1791" w:bottom="1507" w:left="1791" w:header="0" w:footer="1377" w:gutter="0"/>
          <w:cols w:space="720"/>
        </w:sectPr>
      </w:pPr>
      <w:r>
        <w:rPr>
          <w:rFonts w:ascii="黑体" w:eastAsia="黑体" w:hAnsi="黑体" w:cs="Times New Roman" w:hint="eastAsia"/>
          <w:b/>
          <w:snapToGrid/>
          <w:kern w:val="2"/>
          <w:sz w:val="32"/>
          <w:szCs w:val="32"/>
        </w:rPr>
        <w:t>第四部分 名词解释</w:t>
      </w:r>
    </w:p>
    <w:p w:rsidR="00214442" w:rsidRDefault="00214442"/>
    <w:p w:rsidR="00214442" w:rsidRDefault="00D26412" w:rsidP="00F102AF">
      <w:pPr>
        <w:kinsoku/>
        <w:autoSpaceDE/>
        <w:autoSpaceDN/>
        <w:adjustRightInd/>
        <w:snapToGrid/>
        <w:spacing w:line="560" w:lineRule="exact"/>
        <w:jc w:val="center"/>
        <w:textAlignment w:val="auto"/>
        <w:rPr>
          <w:rFonts w:ascii="宋体" w:eastAsia="宋体" w:hAnsi="宋体" w:cs="Times New Roman"/>
          <w:b/>
          <w:snapToGrid/>
          <w:kern w:val="2"/>
          <w:sz w:val="32"/>
          <w:szCs w:val="30"/>
        </w:rPr>
      </w:pPr>
      <w:r>
        <w:rPr>
          <w:rFonts w:ascii="宋体" w:eastAsia="宋体" w:hAnsi="宋体" w:cs="Times New Roman" w:hint="eastAsia"/>
          <w:b/>
          <w:snapToGrid/>
          <w:kern w:val="2"/>
          <w:sz w:val="32"/>
          <w:szCs w:val="30"/>
        </w:rPr>
        <w:t xml:space="preserve">第一部分  </w:t>
      </w:r>
      <w:r w:rsidR="00F102AF">
        <w:rPr>
          <w:rFonts w:ascii="宋体" w:hAnsi="宋体" w:hint="eastAsia"/>
          <w:b/>
          <w:sz w:val="32"/>
          <w:szCs w:val="32"/>
        </w:rPr>
        <w:t>区卫生健康委</w:t>
      </w:r>
      <w:r>
        <w:rPr>
          <w:rFonts w:ascii="宋体" w:eastAsia="宋体" w:hAnsi="宋体" w:cs="Times New Roman" w:hint="eastAsia"/>
          <w:b/>
          <w:snapToGrid/>
          <w:kern w:val="2"/>
          <w:sz w:val="32"/>
          <w:szCs w:val="30"/>
        </w:rPr>
        <w:t>概况</w:t>
      </w:r>
    </w:p>
    <w:p w:rsidR="00214442" w:rsidRPr="00F102AF" w:rsidRDefault="00214442" w:rsidP="00F102AF">
      <w:pPr>
        <w:spacing w:line="560" w:lineRule="exact"/>
        <w:rPr>
          <w:rFonts w:eastAsiaTheme="minorEastAsia"/>
        </w:rPr>
      </w:pPr>
    </w:p>
    <w:p w:rsidR="00214442" w:rsidRDefault="00D26412" w:rsidP="00F102AF">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一、部门主要职能</w:t>
      </w:r>
    </w:p>
    <w:p w:rsidR="00F102AF" w:rsidRDefault="00F102AF" w:rsidP="00F102AF">
      <w:pPr>
        <w:spacing w:line="560" w:lineRule="exact"/>
        <w:ind w:firstLineChars="200" w:firstLine="600"/>
        <w:rPr>
          <w:rFonts w:ascii="仿宋" w:eastAsia="仿宋" w:hAnsi="仿宋"/>
          <w:sz w:val="30"/>
          <w:szCs w:val="30"/>
        </w:rPr>
      </w:pPr>
      <w:r>
        <w:rPr>
          <w:rFonts w:ascii="仿宋" w:eastAsia="仿宋" w:hAnsi="仿宋" w:hint="eastAsia"/>
          <w:sz w:val="30"/>
          <w:szCs w:val="30"/>
        </w:rPr>
        <w:t>（一）贯彻落实国家有关国民健康的政策、卫生健康事业发展的法律法规、政策、规划。拟订全区卫生健康事业发展相关政策、规划并组织实施，统筹规划卫生健康资源配置，指导区域卫生健康规划的编制和实施。制定并组织实施推进卫生健康基本公共服务均等化、普惠化、便捷化和公共资源向基层延伸等政策措施。</w:t>
      </w:r>
    </w:p>
    <w:p w:rsidR="00F102AF" w:rsidRDefault="00F102AF" w:rsidP="00F102AF">
      <w:pPr>
        <w:spacing w:line="560" w:lineRule="exact"/>
        <w:ind w:firstLineChars="200" w:firstLine="600"/>
        <w:rPr>
          <w:rFonts w:ascii="仿宋" w:eastAsia="仿宋" w:hAnsi="仿宋"/>
          <w:sz w:val="30"/>
          <w:szCs w:val="30"/>
        </w:rPr>
      </w:pPr>
      <w:r>
        <w:rPr>
          <w:rFonts w:ascii="仿宋" w:eastAsia="仿宋" w:hAnsi="仿宋" w:hint="eastAsia"/>
          <w:sz w:val="30"/>
          <w:szCs w:val="30"/>
        </w:rPr>
        <w:t>（二）落实公立医院党建工作责任。指导建立公立医院党的组织体系，强化公立医院党的领导，督促指导加强公立医院党建工作。根据行业主管部门自身职能强化行业指导，支持和帮助民营医疗机构开展党建工作。</w:t>
      </w:r>
    </w:p>
    <w:p w:rsidR="00F102AF" w:rsidRDefault="00F102AF" w:rsidP="00F102AF">
      <w:pPr>
        <w:spacing w:line="560" w:lineRule="exact"/>
        <w:ind w:firstLineChars="200" w:firstLine="600"/>
        <w:rPr>
          <w:rFonts w:ascii="仿宋" w:eastAsia="仿宋" w:hAnsi="仿宋"/>
          <w:sz w:val="30"/>
          <w:szCs w:val="30"/>
        </w:rPr>
      </w:pPr>
      <w:r>
        <w:rPr>
          <w:rFonts w:ascii="仿宋" w:eastAsia="仿宋" w:hAnsi="仿宋" w:hint="eastAsia"/>
          <w:sz w:val="30"/>
          <w:szCs w:val="30"/>
        </w:rPr>
        <w:t>（三）协调推进全区深化医药卫生体制改革，研究提出深化全区医药卫生体制改革政策、措施的建议。组织深化全区公立医院综合改革，推进管办分离，建立健全现代医院管理制度，制定并组织实施推动卫生健康公共服务提供主体多元化、提供方式多样化的政策措施。</w:t>
      </w:r>
    </w:p>
    <w:p w:rsidR="00F102AF" w:rsidRDefault="00F102AF" w:rsidP="00F102AF">
      <w:pPr>
        <w:spacing w:line="560" w:lineRule="exact"/>
        <w:ind w:firstLineChars="200" w:firstLine="600"/>
        <w:rPr>
          <w:rFonts w:ascii="仿宋" w:eastAsia="仿宋" w:hAnsi="仿宋"/>
          <w:sz w:val="30"/>
          <w:szCs w:val="30"/>
        </w:rPr>
      </w:pPr>
      <w:r>
        <w:rPr>
          <w:rFonts w:ascii="仿宋" w:eastAsia="仿宋" w:hAnsi="仿宋" w:hint="eastAsia"/>
          <w:sz w:val="30"/>
          <w:szCs w:val="30"/>
        </w:rPr>
        <w:t>（四）贯彻执行国家免疫规划，制定并组织落实疾病预防控制规划以及严重危害人民健康公共卫生问题的干预措施。承担全区血吸虫病、地方病防治工作。完善疾病预防控制体系。</w:t>
      </w:r>
    </w:p>
    <w:p w:rsidR="00F102AF" w:rsidRDefault="00F102AF" w:rsidP="00F102AF">
      <w:pPr>
        <w:spacing w:line="560" w:lineRule="exact"/>
        <w:ind w:firstLineChars="200" w:firstLine="600"/>
        <w:rPr>
          <w:rFonts w:ascii="仿宋" w:eastAsia="仿宋" w:hAnsi="仿宋"/>
          <w:sz w:val="30"/>
          <w:szCs w:val="30"/>
        </w:rPr>
      </w:pPr>
      <w:r>
        <w:rPr>
          <w:rFonts w:ascii="仿宋" w:eastAsia="仿宋" w:hAnsi="仿宋" w:hint="eastAsia"/>
          <w:sz w:val="30"/>
          <w:szCs w:val="30"/>
        </w:rPr>
        <w:t>（五）负责卫生应急工作。建立卫生应急体系和提升能力建设。组织指导突发公共卫生事件的预防控制、应急处置和各类突</w:t>
      </w:r>
      <w:r>
        <w:rPr>
          <w:rFonts w:ascii="仿宋" w:eastAsia="仿宋" w:hAnsi="仿宋" w:hint="eastAsia"/>
          <w:sz w:val="30"/>
          <w:szCs w:val="30"/>
        </w:rPr>
        <w:lastRenderedPageBreak/>
        <w:t>发公共事件的医疗卫生救援。根据授权发布突发公共卫生事件应急处置信息。</w:t>
      </w:r>
    </w:p>
    <w:p w:rsidR="00F102AF" w:rsidRDefault="00F102AF" w:rsidP="00F102AF">
      <w:pPr>
        <w:spacing w:line="560" w:lineRule="exact"/>
        <w:ind w:firstLineChars="200" w:firstLine="600"/>
        <w:rPr>
          <w:rFonts w:ascii="仿宋" w:eastAsia="仿宋" w:hAnsi="仿宋"/>
          <w:sz w:val="30"/>
          <w:szCs w:val="30"/>
        </w:rPr>
      </w:pPr>
      <w:r>
        <w:rPr>
          <w:rFonts w:ascii="仿宋" w:eastAsia="仿宋" w:hAnsi="仿宋" w:hint="eastAsia"/>
          <w:sz w:val="30"/>
          <w:szCs w:val="30"/>
        </w:rPr>
        <w:t>（六）组织拟订并协调落实应对人口老龄化政策措施，负责推进老年健康服务体系建设和医养结合工作。</w:t>
      </w:r>
    </w:p>
    <w:p w:rsidR="00F102AF" w:rsidRDefault="00F102AF" w:rsidP="00F102AF">
      <w:pPr>
        <w:spacing w:line="560" w:lineRule="exact"/>
        <w:ind w:firstLineChars="200" w:firstLine="600"/>
        <w:rPr>
          <w:rFonts w:ascii="仿宋" w:eastAsia="仿宋" w:hAnsi="仿宋"/>
          <w:sz w:val="30"/>
          <w:szCs w:val="30"/>
        </w:rPr>
      </w:pPr>
      <w:r>
        <w:rPr>
          <w:rFonts w:ascii="仿宋" w:eastAsia="仿宋" w:hAnsi="仿宋" w:hint="eastAsia"/>
          <w:sz w:val="30"/>
          <w:szCs w:val="30"/>
        </w:rPr>
        <w:t>（七）负责卫生健康系统安全管理工作，负责职责范围内的职业健康、放射卫生、环境卫生、学校卫生、公共场所卫生、饮用水卫生等公共卫生的监督管理,负责传染病防治监督，健全卫生健康综合监督体系。负责职责范围内的生态环境保护工作。</w:t>
      </w:r>
    </w:p>
    <w:p w:rsidR="00F102AF" w:rsidRDefault="00F102AF" w:rsidP="00F102AF">
      <w:pPr>
        <w:spacing w:line="560" w:lineRule="exact"/>
        <w:ind w:firstLineChars="200" w:firstLine="600"/>
        <w:rPr>
          <w:rFonts w:ascii="仿宋" w:eastAsia="仿宋" w:hAnsi="仿宋"/>
          <w:sz w:val="30"/>
          <w:szCs w:val="30"/>
        </w:rPr>
      </w:pPr>
      <w:r>
        <w:rPr>
          <w:rFonts w:ascii="仿宋" w:eastAsia="仿宋" w:hAnsi="仿宋" w:hint="eastAsia"/>
          <w:sz w:val="30"/>
          <w:szCs w:val="30"/>
        </w:rPr>
        <w:t>（八）制定医疗机构、医疗服务行业管理办法并监督实施，建立医疗服务评价和监督管理体系。会同有关部门实施卫生健康专业技术人员资格标准。制定并组织实施医疗服务规范、标准和卫生健康专业技术人员执业规则、服务规范。贯彻落实国家药物政策和国家基本药物制度，执行全省药物使用的相关政策措施，开展药品使用监测、临床综合评价和短缺药品预警。提出医疗服务和药品价格政策的建议。组织开展食品安全风险监测评估。</w:t>
      </w:r>
    </w:p>
    <w:p w:rsidR="00F102AF" w:rsidRDefault="00F102AF" w:rsidP="00F102AF">
      <w:pPr>
        <w:spacing w:line="560" w:lineRule="exact"/>
        <w:ind w:firstLineChars="200" w:firstLine="600"/>
        <w:rPr>
          <w:rFonts w:ascii="仿宋" w:eastAsia="仿宋" w:hAnsi="仿宋"/>
          <w:sz w:val="30"/>
          <w:szCs w:val="30"/>
        </w:rPr>
      </w:pPr>
      <w:r>
        <w:rPr>
          <w:rFonts w:ascii="仿宋" w:eastAsia="仿宋" w:hAnsi="仿宋" w:hint="eastAsia"/>
          <w:sz w:val="30"/>
          <w:szCs w:val="30"/>
        </w:rPr>
        <w:t>（九）负责计划生育管理和服务工作，开展全区人口监测预警，研究提出全区人口与家庭发展相关政策建议，完善我区计划生育政策。</w:t>
      </w:r>
    </w:p>
    <w:p w:rsidR="00F102AF" w:rsidRDefault="00F102AF" w:rsidP="00F102AF">
      <w:pPr>
        <w:spacing w:line="560" w:lineRule="exact"/>
        <w:ind w:firstLineChars="200" w:firstLine="600"/>
        <w:rPr>
          <w:rFonts w:ascii="仿宋" w:eastAsia="仿宋" w:hAnsi="仿宋"/>
          <w:sz w:val="30"/>
          <w:szCs w:val="30"/>
        </w:rPr>
      </w:pPr>
      <w:r>
        <w:rPr>
          <w:rFonts w:ascii="仿宋" w:eastAsia="仿宋" w:hAnsi="仿宋" w:hint="eastAsia"/>
          <w:sz w:val="30"/>
          <w:szCs w:val="30"/>
        </w:rPr>
        <w:t>（十）指导全区卫生健康工作。牵头制定和落实高层次人才医疗保障服务政策，加强推进全区卫生健康人才队伍建设，指导基层医疗卫生、妇幼健康服务体系和全科医生队伍建设。推进卫生健康科技创新发展。</w:t>
      </w:r>
    </w:p>
    <w:p w:rsidR="00F102AF" w:rsidRDefault="00F102AF" w:rsidP="00F102AF">
      <w:pPr>
        <w:spacing w:line="560" w:lineRule="exact"/>
        <w:ind w:firstLineChars="200" w:firstLine="600"/>
        <w:rPr>
          <w:rFonts w:ascii="仿宋" w:eastAsia="仿宋" w:hAnsi="仿宋"/>
          <w:sz w:val="30"/>
          <w:szCs w:val="30"/>
        </w:rPr>
      </w:pPr>
      <w:r>
        <w:rPr>
          <w:rFonts w:ascii="仿宋" w:eastAsia="仿宋" w:hAnsi="仿宋" w:hint="eastAsia"/>
          <w:sz w:val="30"/>
          <w:szCs w:val="30"/>
        </w:rPr>
        <w:t>（十一）贯彻执行国家中医药事业发展的法律法规、政策和相关产业标准，拟定全区中医药事业发展的相关政策、规划并组</w:t>
      </w:r>
      <w:r>
        <w:rPr>
          <w:rFonts w:ascii="仿宋" w:eastAsia="仿宋" w:hAnsi="仿宋" w:hint="eastAsia"/>
          <w:sz w:val="30"/>
          <w:szCs w:val="30"/>
        </w:rPr>
        <w:lastRenderedPageBreak/>
        <w:t>织实施，承担全区中医医疗、预防、保健、康复及临床用药等的监督管理工作。</w:t>
      </w:r>
    </w:p>
    <w:p w:rsidR="00F102AF" w:rsidRDefault="00F102AF" w:rsidP="00F102AF">
      <w:pPr>
        <w:spacing w:line="560" w:lineRule="exact"/>
        <w:ind w:firstLineChars="200" w:firstLine="600"/>
        <w:rPr>
          <w:rFonts w:ascii="仿宋" w:eastAsia="仿宋" w:hAnsi="仿宋"/>
          <w:sz w:val="30"/>
          <w:szCs w:val="30"/>
        </w:rPr>
      </w:pPr>
      <w:r>
        <w:rPr>
          <w:rFonts w:ascii="仿宋" w:eastAsia="仿宋" w:hAnsi="仿宋" w:hint="eastAsia"/>
          <w:sz w:val="30"/>
          <w:szCs w:val="30"/>
        </w:rPr>
        <w:t>（十二）负责爱国卫生工作。负责组织编制开展爱国卫生运动、创建国家卫生城市的发展规划，负责组织指导开展全区病媒生物防制工作。</w:t>
      </w:r>
    </w:p>
    <w:p w:rsidR="00F102AF" w:rsidRDefault="00F102AF" w:rsidP="00F102AF">
      <w:pPr>
        <w:spacing w:line="560" w:lineRule="exact"/>
        <w:ind w:firstLineChars="200" w:firstLine="600"/>
        <w:rPr>
          <w:rFonts w:ascii="仿宋" w:eastAsia="仿宋" w:hAnsi="仿宋"/>
          <w:sz w:val="30"/>
          <w:szCs w:val="30"/>
        </w:rPr>
      </w:pPr>
      <w:r>
        <w:rPr>
          <w:rFonts w:ascii="仿宋" w:eastAsia="仿宋" w:hAnsi="仿宋" w:hint="eastAsia"/>
          <w:sz w:val="30"/>
          <w:szCs w:val="30"/>
        </w:rPr>
        <w:t>（十三）负责区级保健对象的医疗保健服务，负责全区重要会议与重大活动的医疗卫生保障工作。</w:t>
      </w:r>
    </w:p>
    <w:p w:rsidR="00F102AF" w:rsidRDefault="00F102AF" w:rsidP="00F102AF">
      <w:pPr>
        <w:spacing w:line="560" w:lineRule="exact"/>
        <w:ind w:firstLineChars="200" w:firstLine="600"/>
        <w:rPr>
          <w:rFonts w:ascii="仿宋" w:eastAsia="仿宋" w:hAnsi="仿宋"/>
          <w:sz w:val="30"/>
          <w:szCs w:val="30"/>
        </w:rPr>
      </w:pPr>
      <w:r>
        <w:rPr>
          <w:rFonts w:ascii="仿宋" w:eastAsia="仿宋" w:hAnsi="仿宋" w:hint="eastAsia"/>
          <w:sz w:val="30"/>
          <w:szCs w:val="30"/>
        </w:rPr>
        <w:t>（十四）承担区老龄工作委员会日常工作，指导区计划生育协会业务工作。</w:t>
      </w:r>
    </w:p>
    <w:p w:rsidR="00F102AF" w:rsidRDefault="00F102AF" w:rsidP="00F102AF">
      <w:pPr>
        <w:spacing w:line="560" w:lineRule="exact"/>
        <w:ind w:firstLine="630"/>
        <w:rPr>
          <w:rFonts w:ascii="仿宋" w:eastAsia="仿宋" w:hAnsi="仿宋"/>
          <w:sz w:val="30"/>
          <w:szCs w:val="30"/>
        </w:rPr>
      </w:pPr>
      <w:r>
        <w:rPr>
          <w:rFonts w:ascii="仿宋" w:eastAsia="仿宋" w:hAnsi="仿宋" w:hint="eastAsia"/>
          <w:sz w:val="30"/>
          <w:szCs w:val="30"/>
        </w:rPr>
        <w:t>（十五）完成区委和区政府交办的其他任务</w:t>
      </w:r>
    </w:p>
    <w:p w:rsidR="00214442" w:rsidRDefault="00D26412" w:rsidP="00F102AF">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二、部门基本情况</w:t>
      </w:r>
    </w:p>
    <w:p w:rsidR="00F102AF" w:rsidRPr="00521E7F" w:rsidRDefault="00F102AF" w:rsidP="00F102AF">
      <w:pPr>
        <w:spacing w:line="560" w:lineRule="exact"/>
        <w:ind w:firstLine="630"/>
        <w:rPr>
          <w:rFonts w:ascii="黑体" w:eastAsia="黑体" w:hAnsi="黑体"/>
          <w:sz w:val="30"/>
          <w:szCs w:val="30"/>
        </w:rPr>
      </w:pPr>
      <w:r>
        <w:rPr>
          <w:rFonts w:ascii="仿宋" w:eastAsia="仿宋" w:hAnsi="仿宋" w:hint="eastAsia"/>
          <w:sz w:val="32"/>
          <w:szCs w:val="30"/>
        </w:rPr>
        <w:t>纳入本套部门决算汇编范围的单位共 1个,为青云谱区卫生健康委员会本级。</w:t>
      </w:r>
    </w:p>
    <w:p w:rsidR="00214442" w:rsidRDefault="00D26412" w:rsidP="00F102AF">
      <w:pPr>
        <w:spacing w:line="560" w:lineRule="exact"/>
        <w:ind w:firstLine="630"/>
        <w:rPr>
          <w:rFonts w:ascii="仿宋" w:eastAsia="仿宋" w:hAnsi="仿宋" w:cs="Times New Roman"/>
          <w:snapToGrid/>
          <w:kern w:val="2"/>
          <w:sz w:val="32"/>
          <w:szCs w:val="30"/>
        </w:rPr>
        <w:sectPr w:rsidR="00214442">
          <w:footerReference w:type="default" r:id="rId8"/>
          <w:pgSz w:w="11910" w:h="16850"/>
          <w:pgMar w:top="1432" w:right="1578" w:bottom="1430" w:left="1786" w:header="0" w:footer="1313" w:gutter="0"/>
          <w:cols w:space="720" w:equalWidth="0">
            <w:col w:w="8545"/>
          </w:cols>
        </w:sectPr>
      </w:pPr>
      <w:r>
        <w:rPr>
          <w:rFonts w:ascii="仿宋" w:eastAsia="仿宋" w:hAnsi="仿宋" w:hint="eastAsia"/>
          <w:sz w:val="30"/>
          <w:szCs w:val="30"/>
        </w:rPr>
        <w:t xml:space="preserve">本部门2021年年末实有人数  </w:t>
      </w:r>
      <w:r w:rsidR="00F102AF">
        <w:rPr>
          <w:rFonts w:ascii="仿宋" w:eastAsia="仿宋" w:hAnsi="仿宋" w:hint="eastAsia"/>
          <w:sz w:val="30"/>
          <w:szCs w:val="30"/>
        </w:rPr>
        <w:t>24</w:t>
      </w:r>
      <w:r>
        <w:rPr>
          <w:rFonts w:ascii="仿宋" w:eastAsia="仿宋" w:hAnsi="仿宋" w:hint="eastAsia"/>
          <w:sz w:val="30"/>
          <w:szCs w:val="30"/>
        </w:rPr>
        <w:t xml:space="preserve"> 人，其中在职人员 </w:t>
      </w:r>
      <w:r w:rsidR="00F102AF">
        <w:rPr>
          <w:rFonts w:ascii="仿宋" w:eastAsia="仿宋" w:hAnsi="仿宋" w:hint="eastAsia"/>
          <w:sz w:val="30"/>
          <w:szCs w:val="30"/>
        </w:rPr>
        <w:t>24</w:t>
      </w:r>
      <w:r>
        <w:rPr>
          <w:rFonts w:ascii="仿宋" w:eastAsia="仿宋" w:hAnsi="仿宋" w:hint="eastAsia"/>
          <w:sz w:val="30"/>
          <w:szCs w:val="30"/>
        </w:rPr>
        <w:t xml:space="preserve"> 人，离休人员 </w:t>
      </w:r>
      <w:r w:rsidR="00F102AF">
        <w:rPr>
          <w:rFonts w:ascii="仿宋" w:eastAsia="仿宋" w:hAnsi="仿宋" w:hint="eastAsia"/>
          <w:sz w:val="30"/>
          <w:szCs w:val="30"/>
        </w:rPr>
        <w:t>0</w:t>
      </w:r>
      <w:r>
        <w:rPr>
          <w:rFonts w:ascii="仿宋" w:eastAsia="仿宋" w:hAnsi="仿宋" w:hint="eastAsia"/>
          <w:sz w:val="30"/>
          <w:szCs w:val="30"/>
        </w:rPr>
        <w:t xml:space="preserve"> 人，退休人员  </w:t>
      </w:r>
      <w:r w:rsidR="00F102AF">
        <w:rPr>
          <w:rFonts w:ascii="仿宋" w:eastAsia="仿宋" w:hAnsi="仿宋" w:hint="eastAsia"/>
          <w:sz w:val="30"/>
          <w:szCs w:val="30"/>
        </w:rPr>
        <w:t>0</w:t>
      </w:r>
      <w:r>
        <w:rPr>
          <w:rFonts w:ascii="仿宋" w:eastAsia="仿宋" w:hAnsi="仿宋" w:hint="eastAsia"/>
          <w:sz w:val="30"/>
          <w:szCs w:val="30"/>
        </w:rPr>
        <w:t xml:space="preserve"> 人；年末其他人员 </w:t>
      </w:r>
      <w:r w:rsidR="00F102AF">
        <w:rPr>
          <w:rFonts w:ascii="仿宋" w:eastAsia="仿宋" w:hAnsi="仿宋" w:hint="eastAsia"/>
          <w:sz w:val="30"/>
          <w:szCs w:val="30"/>
        </w:rPr>
        <w:t>0</w:t>
      </w:r>
      <w:r>
        <w:rPr>
          <w:rFonts w:ascii="仿宋" w:eastAsia="仿宋" w:hAnsi="仿宋" w:hint="eastAsia"/>
          <w:sz w:val="30"/>
          <w:szCs w:val="30"/>
        </w:rPr>
        <w:t xml:space="preserve"> 人；年末学生人数 </w:t>
      </w:r>
      <w:r w:rsidR="00F102AF">
        <w:rPr>
          <w:rFonts w:ascii="仿宋" w:eastAsia="仿宋" w:hAnsi="仿宋" w:hint="eastAsia"/>
          <w:sz w:val="30"/>
          <w:szCs w:val="30"/>
        </w:rPr>
        <w:t>0</w:t>
      </w:r>
      <w:r>
        <w:rPr>
          <w:rFonts w:ascii="仿宋" w:eastAsia="仿宋" w:hAnsi="仿宋" w:hint="eastAsia"/>
          <w:sz w:val="30"/>
          <w:szCs w:val="30"/>
        </w:rPr>
        <w:t xml:space="preserve">  人。</w:t>
      </w:r>
    </w:p>
    <w:p w:rsidR="00214442" w:rsidRDefault="00D26412" w:rsidP="00784397">
      <w:pPr>
        <w:jc w:val="center"/>
        <w:rPr>
          <w:rFonts w:ascii="宋体" w:eastAsia="宋体" w:hAnsi="宋体" w:cs="Times New Roman"/>
          <w:b/>
          <w:snapToGrid/>
          <w:kern w:val="2"/>
          <w:sz w:val="32"/>
          <w:szCs w:val="30"/>
        </w:rPr>
      </w:pPr>
      <w:r>
        <w:rPr>
          <w:rFonts w:ascii="宋体" w:eastAsia="宋体" w:hAnsi="宋体" w:cs="Times New Roman" w:hint="eastAsia"/>
          <w:b/>
          <w:snapToGrid/>
          <w:kern w:val="2"/>
          <w:sz w:val="32"/>
          <w:szCs w:val="30"/>
        </w:rPr>
        <w:lastRenderedPageBreak/>
        <w:t>第二部分  2021年度部门决算表</w:t>
      </w:r>
      <w:r w:rsidR="0092754B">
        <w:rPr>
          <w:rFonts w:ascii="宋体" w:eastAsia="宋体" w:hAnsi="宋体" w:cs="Times New Roman"/>
          <w:b/>
          <w:noProof/>
          <w:snapToGrid/>
          <w:kern w:val="2"/>
          <w:sz w:val="32"/>
          <w:szCs w:val="30"/>
        </w:rPr>
        <w:drawing>
          <wp:inline distT="0" distB="0" distL="0" distR="0">
            <wp:extent cx="5543550" cy="5556242"/>
            <wp:effectExtent l="1905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5543550" cy="5556242"/>
                    </a:xfrm>
                    <a:prstGeom prst="rect">
                      <a:avLst/>
                    </a:prstGeom>
                    <a:noFill/>
                    <a:ln w="9525">
                      <a:noFill/>
                      <a:miter lim="800000"/>
                      <a:headEnd/>
                      <a:tailEnd/>
                    </a:ln>
                  </pic:spPr>
                </pic:pic>
              </a:graphicData>
            </a:graphic>
          </wp:inline>
        </w:drawing>
      </w:r>
      <w:r w:rsidR="0092754B">
        <w:rPr>
          <w:rFonts w:ascii="宋体" w:eastAsia="宋体" w:hAnsi="宋体" w:cs="Times New Roman"/>
          <w:b/>
          <w:noProof/>
          <w:snapToGrid/>
          <w:kern w:val="2"/>
          <w:sz w:val="32"/>
          <w:szCs w:val="30"/>
        </w:rPr>
        <w:lastRenderedPageBreak/>
        <w:drawing>
          <wp:inline distT="0" distB="0" distL="0" distR="0">
            <wp:extent cx="5543550" cy="3668567"/>
            <wp:effectExtent l="1905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srcRect/>
                    <a:stretch>
                      <a:fillRect/>
                    </a:stretch>
                  </pic:blipFill>
                  <pic:spPr bwMode="auto">
                    <a:xfrm>
                      <a:off x="0" y="0"/>
                      <a:ext cx="5543550" cy="3668567"/>
                    </a:xfrm>
                    <a:prstGeom prst="rect">
                      <a:avLst/>
                    </a:prstGeom>
                    <a:noFill/>
                    <a:ln w="9525">
                      <a:noFill/>
                      <a:miter lim="800000"/>
                      <a:headEnd/>
                      <a:tailEnd/>
                    </a:ln>
                  </pic:spPr>
                </pic:pic>
              </a:graphicData>
            </a:graphic>
          </wp:inline>
        </w:drawing>
      </w:r>
      <w:r w:rsidR="0092754B" w:rsidRPr="0092754B">
        <w:rPr>
          <w:rFonts w:ascii="宋体" w:eastAsia="宋体" w:hAnsi="宋体" w:cs="Times New Roman"/>
          <w:b/>
          <w:snapToGrid/>
          <w:kern w:val="2"/>
          <w:sz w:val="32"/>
          <w:szCs w:val="30"/>
        </w:rPr>
        <w:t xml:space="preserve"> </w:t>
      </w:r>
      <w:r w:rsidR="0092754B">
        <w:rPr>
          <w:rFonts w:ascii="宋体" w:eastAsia="宋体" w:hAnsi="宋体" w:cs="Times New Roman"/>
          <w:b/>
          <w:noProof/>
          <w:snapToGrid/>
          <w:kern w:val="2"/>
          <w:sz w:val="32"/>
          <w:szCs w:val="30"/>
        </w:rPr>
        <w:lastRenderedPageBreak/>
        <w:drawing>
          <wp:inline distT="0" distB="0" distL="0" distR="0">
            <wp:extent cx="5543550" cy="5225839"/>
            <wp:effectExtent l="1905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srcRect/>
                    <a:stretch>
                      <a:fillRect/>
                    </a:stretch>
                  </pic:blipFill>
                  <pic:spPr bwMode="auto">
                    <a:xfrm>
                      <a:off x="0" y="0"/>
                      <a:ext cx="5543550" cy="5225839"/>
                    </a:xfrm>
                    <a:prstGeom prst="rect">
                      <a:avLst/>
                    </a:prstGeom>
                    <a:noFill/>
                    <a:ln w="9525">
                      <a:noFill/>
                      <a:miter lim="800000"/>
                      <a:headEnd/>
                      <a:tailEnd/>
                    </a:ln>
                  </pic:spPr>
                </pic:pic>
              </a:graphicData>
            </a:graphic>
          </wp:inline>
        </w:drawing>
      </w:r>
      <w:r w:rsidR="0092754B" w:rsidRPr="0092754B">
        <w:rPr>
          <w:rFonts w:ascii="宋体" w:eastAsia="宋体" w:hAnsi="宋体" w:cs="Times New Roman"/>
          <w:b/>
          <w:snapToGrid/>
          <w:kern w:val="2"/>
          <w:sz w:val="32"/>
          <w:szCs w:val="30"/>
        </w:rPr>
        <w:t xml:space="preserve"> </w:t>
      </w:r>
      <w:r w:rsidR="0092754B">
        <w:rPr>
          <w:rFonts w:ascii="宋体" w:eastAsia="宋体" w:hAnsi="宋体" w:cs="Times New Roman"/>
          <w:b/>
          <w:noProof/>
          <w:snapToGrid/>
          <w:kern w:val="2"/>
          <w:sz w:val="32"/>
          <w:szCs w:val="30"/>
        </w:rPr>
        <w:lastRenderedPageBreak/>
        <w:drawing>
          <wp:inline distT="0" distB="0" distL="0" distR="0">
            <wp:extent cx="5543550" cy="4058768"/>
            <wp:effectExtent l="1905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srcRect/>
                    <a:stretch>
                      <a:fillRect/>
                    </a:stretch>
                  </pic:blipFill>
                  <pic:spPr bwMode="auto">
                    <a:xfrm>
                      <a:off x="0" y="0"/>
                      <a:ext cx="5543550" cy="4058768"/>
                    </a:xfrm>
                    <a:prstGeom prst="rect">
                      <a:avLst/>
                    </a:prstGeom>
                    <a:noFill/>
                    <a:ln w="9525">
                      <a:noFill/>
                      <a:miter lim="800000"/>
                      <a:headEnd/>
                      <a:tailEnd/>
                    </a:ln>
                  </pic:spPr>
                </pic:pic>
              </a:graphicData>
            </a:graphic>
          </wp:inline>
        </w:drawing>
      </w:r>
      <w:r w:rsidR="0092754B" w:rsidRPr="0092754B">
        <w:rPr>
          <w:rFonts w:ascii="宋体" w:eastAsia="宋体" w:hAnsi="宋体" w:cs="Times New Roman"/>
          <w:b/>
          <w:snapToGrid/>
          <w:kern w:val="2"/>
          <w:sz w:val="32"/>
          <w:szCs w:val="30"/>
        </w:rPr>
        <w:t xml:space="preserve"> </w:t>
      </w:r>
      <w:r w:rsidR="0092754B">
        <w:rPr>
          <w:rFonts w:ascii="宋体" w:eastAsia="宋体" w:hAnsi="宋体" w:cs="Times New Roman"/>
          <w:b/>
          <w:noProof/>
          <w:snapToGrid/>
          <w:kern w:val="2"/>
          <w:sz w:val="32"/>
          <w:szCs w:val="30"/>
        </w:rPr>
        <w:lastRenderedPageBreak/>
        <w:drawing>
          <wp:inline distT="0" distB="0" distL="0" distR="0">
            <wp:extent cx="5543550" cy="7567596"/>
            <wp:effectExtent l="1905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srcRect/>
                    <a:stretch>
                      <a:fillRect/>
                    </a:stretch>
                  </pic:blipFill>
                  <pic:spPr bwMode="auto">
                    <a:xfrm>
                      <a:off x="0" y="0"/>
                      <a:ext cx="5543550" cy="7567596"/>
                    </a:xfrm>
                    <a:prstGeom prst="rect">
                      <a:avLst/>
                    </a:prstGeom>
                    <a:noFill/>
                    <a:ln w="9525">
                      <a:noFill/>
                      <a:miter lim="800000"/>
                      <a:headEnd/>
                      <a:tailEnd/>
                    </a:ln>
                  </pic:spPr>
                </pic:pic>
              </a:graphicData>
            </a:graphic>
          </wp:inline>
        </w:drawing>
      </w:r>
      <w:r w:rsidR="0092754B" w:rsidRPr="0092754B">
        <w:rPr>
          <w:rFonts w:ascii="宋体" w:eastAsia="宋体" w:hAnsi="宋体" w:cs="Times New Roman"/>
          <w:b/>
          <w:snapToGrid/>
          <w:kern w:val="2"/>
          <w:sz w:val="32"/>
          <w:szCs w:val="30"/>
        </w:rPr>
        <w:t xml:space="preserve"> </w:t>
      </w:r>
      <w:r w:rsidR="0092754B">
        <w:rPr>
          <w:rFonts w:ascii="宋体" w:eastAsia="宋体" w:hAnsi="宋体" w:cs="Times New Roman"/>
          <w:b/>
          <w:noProof/>
          <w:snapToGrid/>
          <w:kern w:val="2"/>
          <w:sz w:val="32"/>
          <w:szCs w:val="30"/>
        </w:rPr>
        <w:lastRenderedPageBreak/>
        <w:drawing>
          <wp:inline distT="0" distB="0" distL="0" distR="0">
            <wp:extent cx="5543550" cy="5507381"/>
            <wp:effectExtent l="1905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a:srcRect/>
                    <a:stretch>
                      <a:fillRect/>
                    </a:stretch>
                  </pic:blipFill>
                  <pic:spPr bwMode="auto">
                    <a:xfrm>
                      <a:off x="0" y="0"/>
                      <a:ext cx="5543550" cy="5507381"/>
                    </a:xfrm>
                    <a:prstGeom prst="rect">
                      <a:avLst/>
                    </a:prstGeom>
                    <a:noFill/>
                    <a:ln w="9525">
                      <a:noFill/>
                      <a:miter lim="800000"/>
                      <a:headEnd/>
                      <a:tailEnd/>
                    </a:ln>
                  </pic:spPr>
                </pic:pic>
              </a:graphicData>
            </a:graphic>
          </wp:inline>
        </w:drawing>
      </w:r>
      <w:r w:rsidR="0092754B">
        <w:rPr>
          <w:rFonts w:ascii="宋体" w:eastAsia="宋体" w:hAnsi="宋体" w:cs="Times New Roman"/>
          <w:b/>
          <w:noProof/>
          <w:snapToGrid/>
          <w:kern w:val="2"/>
          <w:sz w:val="32"/>
          <w:szCs w:val="30"/>
        </w:rPr>
        <w:drawing>
          <wp:inline distT="0" distB="0" distL="0" distR="0">
            <wp:extent cx="5543550" cy="3067640"/>
            <wp:effectExtent l="1905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a:srcRect/>
                    <a:stretch>
                      <a:fillRect/>
                    </a:stretch>
                  </pic:blipFill>
                  <pic:spPr bwMode="auto">
                    <a:xfrm>
                      <a:off x="0" y="0"/>
                      <a:ext cx="5543550" cy="3067640"/>
                    </a:xfrm>
                    <a:prstGeom prst="rect">
                      <a:avLst/>
                    </a:prstGeom>
                    <a:noFill/>
                    <a:ln w="9525">
                      <a:noFill/>
                      <a:miter lim="800000"/>
                      <a:headEnd/>
                      <a:tailEnd/>
                    </a:ln>
                  </pic:spPr>
                </pic:pic>
              </a:graphicData>
            </a:graphic>
          </wp:inline>
        </w:drawing>
      </w:r>
      <w:r w:rsidR="0092754B" w:rsidRPr="0092754B">
        <w:rPr>
          <w:rFonts w:ascii="宋体" w:eastAsia="宋体" w:hAnsi="宋体" w:cs="Times New Roman"/>
          <w:b/>
          <w:snapToGrid/>
          <w:kern w:val="2"/>
          <w:sz w:val="32"/>
          <w:szCs w:val="30"/>
        </w:rPr>
        <w:t xml:space="preserve"> </w:t>
      </w:r>
      <w:r w:rsidR="0092754B">
        <w:rPr>
          <w:rFonts w:ascii="宋体" w:eastAsia="宋体" w:hAnsi="宋体" w:cs="Times New Roman"/>
          <w:b/>
          <w:noProof/>
          <w:snapToGrid/>
          <w:kern w:val="2"/>
          <w:sz w:val="32"/>
          <w:szCs w:val="30"/>
        </w:rPr>
        <w:lastRenderedPageBreak/>
        <w:drawing>
          <wp:inline distT="0" distB="0" distL="0" distR="0">
            <wp:extent cx="5543550" cy="4761993"/>
            <wp:effectExtent l="1905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a:srcRect/>
                    <a:stretch>
                      <a:fillRect/>
                    </a:stretch>
                  </pic:blipFill>
                  <pic:spPr bwMode="auto">
                    <a:xfrm>
                      <a:off x="0" y="0"/>
                      <a:ext cx="5543550" cy="4761993"/>
                    </a:xfrm>
                    <a:prstGeom prst="rect">
                      <a:avLst/>
                    </a:prstGeom>
                    <a:noFill/>
                    <a:ln w="9525">
                      <a:noFill/>
                      <a:miter lim="800000"/>
                      <a:headEnd/>
                      <a:tailEnd/>
                    </a:ln>
                  </pic:spPr>
                </pic:pic>
              </a:graphicData>
            </a:graphic>
          </wp:inline>
        </w:drawing>
      </w:r>
      <w:r w:rsidR="0092754B" w:rsidRPr="0092754B">
        <w:rPr>
          <w:rFonts w:ascii="宋体" w:eastAsia="宋体" w:hAnsi="宋体" w:cs="Times New Roman"/>
          <w:b/>
          <w:snapToGrid/>
          <w:kern w:val="2"/>
          <w:sz w:val="32"/>
          <w:szCs w:val="30"/>
        </w:rPr>
        <w:t xml:space="preserve"> </w:t>
      </w:r>
      <w:r w:rsidR="0092754B">
        <w:rPr>
          <w:rFonts w:ascii="宋体" w:eastAsia="宋体" w:hAnsi="宋体" w:cs="Times New Roman"/>
          <w:b/>
          <w:noProof/>
          <w:snapToGrid/>
          <w:kern w:val="2"/>
          <w:sz w:val="32"/>
          <w:szCs w:val="30"/>
        </w:rPr>
        <w:drawing>
          <wp:inline distT="0" distB="0" distL="0" distR="0">
            <wp:extent cx="5543550" cy="1937831"/>
            <wp:effectExtent l="1905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
                    <a:srcRect/>
                    <a:stretch>
                      <a:fillRect/>
                    </a:stretch>
                  </pic:blipFill>
                  <pic:spPr bwMode="auto">
                    <a:xfrm>
                      <a:off x="0" y="0"/>
                      <a:ext cx="5543550" cy="1937831"/>
                    </a:xfrm>
                    <a:prstGeom prst="rect">
                      <a:avLst/>
                    </a:prstGeom>
                    <a:noFill/>
                    <a:ln w="9525">
                      <a:noFill/>
                      <a:miter lim="800000"/>
                      <a:headEnd/>
                      <a:tailEnd/>
                    </a:ln>
                  </pic:spPr>
                </pic:pic>
              </a:graphicData>
            </a:graphic>
          </wp:inline>
        </w:drawing>
      </w:r>
      <w:r w:rsidR="0092754B" w:rsidRPr="0092754B">
        <w:rPr>
          <w:rFonts w:ascii="宋体" w:eastAsia="宋体" w:hAnsi="宋体" w:cs="Times New Roman"/>
          <w:b/>
          <w:snapToGrid/>
          <w:kern w:val="2"/>
          <w:sz w:val="32"/>
          <w:szCs w:val="30"/>
        </w:rPr>
        <w:t xml:space="preserve"> </w:t>
      </w:r>
      <w:r w:rsidR="0092754B">
        <w:rPr>
          <w:rFonts w:ascii="宋体" w:eastAsia="宋体" w:hAnsi="宋体" w:cs="Times New Roman"/>
          <w:b/>
          <w:noProof/>
          <w:snapToGrid/>
          <w:kern w:val="2"/>
          <w:sz w:val="32"/>
          <w:szCs w:val="30"/>
        </w:rPr>
        <w:lastRenderedPageBreak/>
        <w:drawing>
          <wp:inline distT="0" distB="0" distL="0" distR="0">
            <wp:extent cx="5543550" cy="2905246"/>
            <wp:effectExtent l="1905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8"/>
                    <a:srcRect/>
                    <a:stretch>
                      <a:fillRect/>
                    </a:stretch>
                  </pic:blipFill>
                  <pic:spPr bwMode="auto">
                    <a:xfrm>
                      <a:off x="0" y="0"/>
                      <a:ext cx="5543550" cy="2905246"/>
                    </a:xfrm>
                    <a:prstGeom prst="rect">
                      <a:avLst/>
                    </a:prstGeom>
                    <a:noFill/>
                    <a:ln w="9525">
                      <a:noFill/>
                      <a:miter lim="800000"/>
                      <a:headEnd/>
                      <a:tailEnd/>
                    </a:ln>
                  </pic:spPr>
                </pic:pic>
              </a:graphicData>
            </a:graphic>
          </wp:inline>
        </w:drawing>
      </w:r>
      <w:r w:rsidR="0092754B" w:rsidRPr="0092754B">
        <w:rPr>
          <w:rFonts w:ascii="宋体" w:eastAsia="宋体" w:hAnsi="宋体" w:cs="Times New Roman"/>
          <w:b/>
          <w:snapToGrid/>
          <w:kern w:val="2"/>
          <w:sz w:val="32"/>
          <w:szCs w:val="30"/>
        </w:rPr>
        <w:t xml:space="preserve"> </w:t>
      </w:r>
      <w:r w:rsidR="0092754B">
        <w:rPr>
          <w:rFonts w:ascii="宋体" w:eastAsia="宋体" w:hAnsi="宋体" w:cs="Times New Roman"/>
          <w:b/>
          <w:noProof/>
          <w:snapToGrid/>
          <w:kern w:val="2"/>
          <w:sz w:val="32"/>
          <w:szCs w:val="30"/>
        </w:rPr>
        <w:drawing>
          <wp:inline distT="0" distB="0" distL="0" distR="0">
            <wp:extent cx="5543550" cy="3240227"/>
            <wp:effectExtent l="1905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9"/>
                    <a:srcRect/>
                    <a:stretch>
                      <a:fillRect/>
                    </a:stretch>
                  </pic:blipFill>
                  <pic:spPr bwMode="auto">
                    <a:xfrm>
                      <a:off x="0" y="0"/>
                      <a:ext cx="5543550" cy="3240227"/>
                    </a:xfrm>
                    <a:prstGeom prst="rect">
                      <a:avLst/>
                    </a:prstGeom>
                    <a:noFill/>
                    <a:ln w="9525">
                      <a:noFill/>
                      <a:miter lim="800000"/>
                      <a:headEnd/>
                      <a:tailEnd/>
                    </a:ln>
                  </pic:spPr>
                </pic:pic>
              </a:graphicData>
            </a:graphic>
          </wp:inline>
        </w:drawing>
      </w:r>
    </w:p>
    <w:p w:rsidR="0092754B" w:rsidRDefault="0092754B">
      <w:pPr>
        <w:kinsoku/>
        <w:autoSpaceDE/>
        <w:autoSpaceDN/>
        <w:adjustRightInd/>
        <w:snapToGrid/>
        <w:jc w:val="center"/>
        <w:textAlignment w:val="auto"/>
        <w:rPr>
          <w:rFonts w:ascii="宋体" w:eastAsia="宋体" w:hAnsi="宋体" w:cs="Times New Roman"/>
          <w:b/>
          <w:snapToGrid/>
          <w:kern w:val="2"/>
          <w:sz w:val="32"/>
          <w:szCs w:val="30"/>
        </w:rPr>
      </w:pPr>
    </w:p>
    <w:p w:rsidR="0092754B" w:rsidRDefault="0092754B">
      <w:pPr>
        <w:kinsoku/>
        <w:autoSpaceDE/>
        <w:autoSpaceDN/>
        <w:adjustRightInd/>
        <w:snapToGrid/>
        <w:jc w:val="center"/>
        <w:textAlignment w:val="auto"/>
        <w:rPr>
          <w:rFonts w:ascii="宋体" w:eastAsia="宋体" w:hAnsi="宋体" w:cs="Times New Roman"/>
          <w:b/>
          <w:snapToGrid/>
          <w:kern w:val="2"/>
          <w:sz w:val="32"/>
          <w:szCs w:val="30"/>
        </w:rPr>
      </w:pPr>
    </w:p>
    <w:p w:rsidR="0092754B" w:rsidRDefault="0092754B">
      <w:pPr>
        <w:kinsoku/>
        <w:autoSpaceDE/>
        <w:autoSpaceDN/>
        <w:adjustRightInd/>
        <w:snapToGrid/>
        <w:jc w:val="center"/>
        <w:textAlignment w:val="auto"/>
        <w:rPr>
          <w:rFonts w:ascii="宋体" w:eastAsia="宋体" w:hAnsi="宋体" w:cs="Times New Roman"/>
          <w:b/>
          <w:snapToGrid/>
          <w:kern w:val="2"/>
          <w:sz w:val="32"/>
          <w:szCs w:val="30"/>
        </w:rPr>
      </w:pPr>
    </w:p>
    <w:p w:rsidR="0092754B" w:rsidRDefault="0092754B">
      <w:pPr>
        <w:kinsoku/>
        <w:autoSpaceDE/>
        <w:autoSpaceDN/>
        <w:adjustRightInd/>
        <w:snapToGrid/>
        <w:jc w:val="center"/>
        <w:textAlignment w:val="auto"/>
        <w:rPr>
          <w:rFonts w:ascii="宋体" w:eastAsia="宋体" w:hAnsi="宋体" w:cs="Times New Roman"/>
          <w:b/>
          <w:snapToGrid/>
          <w:kern w:val="2"/>
          <w:sz w:val="32"/>
          <w:szCs w:val="30"/>
        </w:rPr>
      </w:pPr>
    </w:p>
    <w:p w:rsidR="0092754B" w:rsidRDefault="0092754B">
      <w:pPr>
        <w:kinsoku/>
        <w:autoSpaceDE/>
        <w:autoSpaceDN/>
        <w:adjustRightInd/>
        <w:snapToGrid/>
        <w:jc w:val="center"/>
        <w:textAlignment w:val="auto"/>
        <w:rPr>
          <w:rFonts w:ascii="宋体" w:eastAsia="宋体" w:hAnsi="宋体" w:cs="Times New Roman"/>
          <w:b/>
          <w:snapToGrid/>
          <w:kern w:val="2"/>
          <w:sz w:val="32"/>
          <w:szCs w:val="30"/>
        </w:rPr>
      </w:pPr>
    </w:p>
    <w:p w:rsidR="0092754B" w:rsidRDefault="0092754B" w:rsidP="006A701E">
      <w:pPr>
        <w:kinsoku/>
        <w:autoSpaceDE/>
        <w:autoSpaceDN/>
        <w:adjustRightInd/>
        <w:snapToGrid/>
        <w:textAlignment w:val="auto"/>
        <w:rPr>
          <w:rFonts w:ascii="宋体" w:eastAsia="宋体" w:hAnsi="宋体" w:cs="Times New Roman"/>
          <w:b/>
          <w:snapToGrid/>
          <w:kern w:val="2"/>
          <w:sz w:val="32"/>
          <w:szCs w:val="30"/>
        </w:rPr>
      </w:pPr>
    </w:p>
    <w:p w:rsidR="00214442" w:rsidRDefault="00D26412">
      <w:pPr>
        <w:kinsoku/>
        <w:autoSpaceDE/>
        <w:autoSpaceDN/>
        <w:adjustRightInd/>
        <w:snapToGrid/>
        <w:jc w:val="center"/>
        <w:textAlignment w:val="auto"/>
        <w:rPr>
          <w:rFonts w:ascii="宋体" w:eastAsia="宋体" w:hAnsi="宋体" w:cs="Times New Roman"/>
          <w:b/>
          <w:snapToGrid/>
          <w:kern w:val="2"/>
          <w:sz w:val="32"/>
          <w:szCs w:val="30"/>
        </w:rPr>
      </w:pPr>
      <w:r>
        <w:rPr>
          <w:rFonts w:ascii="宋体" w:eastAsia="宋体" w:hAnsi="宋体" w:cs="Times New Roman" w:hint="eastAsia"/>
          <w:b/>
          <w:snapToGrid/>
          <w:kern w:val="2"/>
          <w:sz w:val="32"/>
          <w:szCs w:val="30"/>
        </w:rPr>
        <w:lastRenderedPageBreak/>
        <w:t>第三部分    2021年度部门决算情况说明</w:t>
      </w:r>
    </w:p>
    <w:p w:rsidR="00214442" w:rsidRDefault="00214442"/>
    <w:p w:rsidR="00214442" w:rsidRDefault="00214442"/>
    <w:p w:rsidR="00214442" w:rsidRDefault="00D26412" w:rsidP="00784397">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一、收入决算情况说明</w:t>
      </w:r>
    </w:p>
    <w:p w:rsidR="00214442" w:rsidRDefault="00D26412" w:rsidP="003F72B3">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本部门 2021年度收入总计</w:t>
      </w:r>
      <w:r w:rsidR="003F72B3">
        <w:rPr>
          <w:rFonts w:ascii="仿宋" w:eastAsia="仿宋" w:hAnsi="仿宋" w:cs="Times New Roman" w:hint="eastAsia"/>
          <w:snapToGrid/>
          <w:kern w:val="2"/>
          <w:sz w:val="32"/>
          <w:szCs w:val="30"/>
        </w:rPr>
        <w:t>12122.2</w:t>
      </w:r>
      <w:r>
        <w:rPr>
          <w:rFonts w:ascii="仿宋" w:eastAsia="仿宋" w:hAnsi="仿宋" w:cs="Times New Roman" w:hint="eastAsia"/>
          <w:snapToGrid/>
          <w:kern w:val="2"/>
          <w:sz w:val="32"/>
          <w:szCs w:val="30"/>
        </w:rPr>
        <w:t xml:space="preserve"> 万元，其中年初结转和结余</w:t>
      </w:r>
      <w:r w:rsidR="003F72B3">
        <w:rPr>
          <w:rFonts w:ascii="仿宋" w:eastAsia="仿宋" w:hAnsi="仿宋" w:cs="Times New Roman" w:hint="eastAsia"/>
          <w:snapToGrid/>
          <w:kern w:val="2"/>
          <w:sz w:val="32"/>
          <w:szCs w:val="30"/>
        </w:rPr>
        <w:t>2231.82</w:t>
      </w:r>
      <w:r>
        <w:rPr>
          <w:rFonts w:ascii="仿宋" w:eastAsia="仿宋" w:hAnsi="仿宋" w:cs="Times New Roman" w:hint="eastAsia"/>
          <w:snapToGrid/>
          <w:kern w:val="2"/>
          <w:sz w:val="32"/>
          <w:szCs w:val="30"/>
        </w:rPr>
        <w:t xml:space="preserve"> 万元，较 2020年减少</w:t>
      </w:r>
      <w:r w:rsidR="003F72B3">
        <w:rPr>
          <w:rFonts w:ascii="仿宋" w:eastAsia="仿宋" w:hAnsi="仿宋" w:cs="Times New Roman" w:hint="eastAsia"/>
          <w:snapToGrid/>
          <w:kern w:val="2"/>
          <w:sz w:val="32"/>
          <w:szCs w:val="30"/>
        </w:rPr>
        <w:t>1656.7</w:t>
      </w:r>
      <w:r>
        <w:rPr>
          <w:rFonts w:ascii="仿宋" w:eastAsia="仿宋" w:hAnsi="仿宋" w:cs="Times New Roman" w:hint="eastAsia"/>
          <w:snapToGrid/>
          <w:kern w:val="2"/>
          <w:sz w:val="32"/>
          <w:szCs w:val="30"/>
        </w:rPr>
        <w:t>万元，下降</w:t>
      </w:r>
      <w:r w:rsidR="003F72B3">
        <w:rPr>
          <w:rFonts w:ascii="仿宋" w:eastAsia="仿宋" w:hAnsi="仿宋" w:cs="Times New Roman" w:hint="eastAsia"/>
          <w:snapToGrid/>
          <w:kern w:val="2"/>
          <w:sz w:val="32"/>
          <w:szCs w:val="30"/>
        </w:rPr>
        <w:t>42.6</w:t>
      </w:r>
      <w:r>
        <w:rPr>
          <w:rFonts w:ascii="仿宋" w:eastAsia="仿宋" w:hAnsi="仿宋" w:cs="Times New Roman" w:hint="eastAsia"/>
          <w:snapToGrid/>
          <w:kern w:val="2"/>
          <w:sz w:val="32"/>
          <w:szCs w:val="30"/>
        </w:rPr>
        <w:t xml:space="preserve">%; 本年收入合计 </w:t>
      </w:r>
      <w:r w:rsidR="003F72B3">
        <w:rPr>
          <w:rFonts w:ascii="仿宋" w:eastAsia="仿宋" w:hAnsi="仿宋" w:cs="Times New Roman" w:hint="eastAsia"/>
          <w:snapToGrid/>
          <w:kern w:val="2"/>
          <w:sz w:val="32"/>
          <w:szCs w:val="30"/>
        </w:rPr>
        <w:t>9890.38</w:t>
      </w:r>
      <w:r>
        <w:rPr>
          <w:rFonts w:ascii="仿宋" w:eastAsia="仿宋" w:hAnsi="仿宋" w:cs="Times New Roman" w:hint="eastAsia"/>
          <w:snapToGrid/>
          <w:kern w:val="2"/>
          <w:sz w:val="32"/>
          <w:szCs w:val="30"/>
        </w:rPr>
        <w:t>万元，较 2020年减少</w:t>
      </w:r>
      <w:r w:rsidR="003F72B3">
        <w:rPr>
          <w:rFonts w:ascii="仿宋" w:eastAsia="仿宋" w:hAnsi="仿宋" w:cs="Times New Roman" w:hint="eastAsia"/>
          <w:snapToGrid/>
          <w:kern w:val="2"/>
          <w:sz w:val="32"/>
          <w:szCs w:val="30"/>
        </w:rPr>
        <w:t>159.69</w:t>
      </w:r>
      <w:r w:rsidR="00C97C5B">
        <w:rPr>
          <w:rFonts w:ascii="仿宋" w:eastAsia="仿宋" w:hAnsi="仿宋" w:cs="Times New Roman" w:hint="eastAsia"/>
          <w:snapToGrid/>
          <w:kern w:val="2"/>
          <w:sz w:val="32"/>
          <w:szCs w:val="30"/>
        </w:rPr>
        <w:t>万元，</w:t>
      </w:r>
      <w:r>
        <w:rPr>
          <w:rFonts w:ascii="仿宋" w:eastAsia="仿宋" w:hAnsi="仿宋" w:cs="Times New Roman" w:hint="eastAsia"/>
          <w:snapToGrid/>
          <w:kern w:val="2"/>
          <w:sz w:val="32"/>
          <w:szCs w:val="30"/>
        </w:rPr>
        <w:t>下降</w:t>
      </w:r>
      <w:r w:rsidR="003F72B3">
        <w:rPr>
          <w:rFonts w:ascii="仿宋" w:eastAsia="仿宋" w:hAnsi="仿宋" w:cs="Times New Roman" w:hint="eastAsia"/>
          <w:snapToGrid/>
          <w:kern w:val="2"/>
          <w:sz w:val="32"/>
          <w:szCs w:val="30"/>
        </w:rPr>
        <w:t>1.59</w:t>
      </w:r>
      <w:r>
        <w:rPr>
          <w:rFonts w:ascii="仿宋" w:eastAsia="仿宋" w:hAnsi="仿宋" w:cs="Times New Roman" w:hint="eastAsia"/>
          <w:snapToGrid/>
          <w:kern w:val="2"/>
          <w:sz w:val="32"/>
          <w:szCs w:val="30"/>
        </w:rPr>
        <w:t xml:space="preserve"> %</w:t>
      </w:r>
      <w:r w:rsidRPr="00C97C5B">
        <w:rPr>
          <w:rFonts w:ascii="仿宋" w:eastAsia="仿宋" w:hAnsi="仿宋" w:cs="Times New Roman" w:hint="eastAsia"/>
          <w:snapToGrid/>
          <w:color w:val="auto"/>
          <w:kern w:val="2"/>
          <w:sz w:val="32"/>
          <w:szCs w:val="30"/>
        </w:rPr>
        <w:t>。</w:t>
      </w:r>
      <w:r>
        <w:rPr>
          <w:rFonts w:ascii="仿宋" w:eastAsia="仿宋" w:hAnsi="仿宋" w:cs="Times New Roman" w:hint="eastAsia"/>
          <w:snapToGrid/>
          <w:kern w:val="2"/>
          <w:sz w:val="32"/>
          <w:szCs w:val="30"/>
        </w:rPr>
        <w:t xml:space="preserve">本年收入的具体构成为∶ 财政拨款收入 </w:t>
      </w:r>
      <w:r w:rsidR="00C97C5B">
        <w:rPr>
          <w:rFonts w:ascii="仿宋" w:eastAsia="仿宋" w:hAnsi="仿宋" w:cs="Times New Roman" w:hint="eastAsia"/>
          <w:snapToGrid/>
          <w:kern w:val="2"/>
          <w:sz w:val="32"/>
          <w:szCs w:val="30"/>
        </w:rPr>
        <w:t>9890.38万元，</w:t>
      </w:r>
      <w:r>
        <w:rPr>
          <w:rFonts w:ascii="仿宋" w:eastAsia="仿宋" w:hAnsi="仿宋" w:cs="Times New Roman" w:hint="eastAsia"/>
          <w:snapToGrid/>
          <w:kern w:val="2"/>
          <w:sz w:val="32"/>
          <w:szCs w:val="30"/>
        </w:rPr>
        <w:t>占</w:t>
      </w:r>
      <w:r w:rsidR="00C97C5B">
        <w:rPr>
          <w:rFonts w:ascii="仿宋" w:eastAsia="仿宋" w:hAnsi="仿宋" w:cs="Times New Roman" w:hint="eastAsia"/>
          <w:snapToGrid/>
          <w:kern w:val="2"/>
          <w:sz w:val="32"/>
          <w:szCs w:val="30"/>
        </w:rPr>
        <w:t>100</w:t>
      </w:r>
      <w:r>
        <w:rPr>
          <w:rFonts w:ascii="仿宋" w:eastAsia="仿宋" w:hAnsi="仿宋" w:cs="Times New Roman" w:hint="eastAsia"/>
          <w:snapToGrid/>
          <w:kern w:val="2"/>
          <w:sz w:val="32"/>
          <w:szCs w:val="30"/>
        </w:rPr>
        <w:t xml:space="preserve"> %。</w:t>
      </w:r>
    </w:p>
    <w:p w:rsidR="00214442" w:rsidRDefault="00D26412" w:rsidP="00784397">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二、支出决算情况说明</w:t>
      </w:r>
    </w:p>
    <w:p w:rsidR="00214442" w:rsidRDefault="00D26412" w:rsidP="00BB092D">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 xml:space="preserve">本部门 2021年度支出总计 </w:t>
      </w:r>
      <w:r w:rsidR="00C97C5B">
        <w:rPr>
          <w:rFonts w:ascii="仿宋" w:eastAsia="仿宋" w:hAnsi="仿宋" w:cs="Times New Roman" w:hint="eastAsia"/>
          <w:snapToGrid/>
          <w:kern w:val="2"/>
          <w:sz w:val="32"/>
          <w:szCs w:val="30"/>
        </w:rPr>
        <w:t>12122.2</w:t>
      </w:r>
      <w:r>
        <w:rPr>
          <w:rFonts w:ascii="仿宋" w:eastAsia="仿宋" w:hAnsi="仿宋" w:cs="Times New Roman" w:hint="eastAsia"/>
          <w:snapToGrid/>
          <w:kern w:val="2"/>
          <w:sz w:val="32"/>
          <w:szCs w:val="30"/>
        </w:rPr>
        <w:t>万元，其中本年支出合计</w:t>
      </w:r>
      <w:r w:rsidR="00C97C5B">
        <w:rPr>
          <w:rFonts w:ascii="仿宋" w:eastAsia="仿宋" w:hAnsi="仿宋" w:cs="Times New Roman" w:hint="eastAsia"/>
          <w:snapToGrid/>
          <w:kern w:val="2"/>
          <w:sz w:val="32"/>
          <w:szCs w:val="30"/>
        </w:rPr>
        <w:t xml:space="preserve"> 12122.2 </w:t>
      </w:r>
      <w:r>
        <w:rPr>
          <w:rFonts w:ascii="仿宋" w:eastAsia="仿宋" w:hAnsi="仿宋" w:cs="Times New Roman" w:hint="eastAsia"/>
          <w:snapToGrid/>
          <w:kern w:val="2"/>
          <w:sz w:val="32"/>
          <w:szCs w:val="30"/>
        </w:rPr>
        <w:t>万元，较 2020年增加</w:t>
      </w:r>
      <w:r w:rsidR="00C97C5B">
        <w:rPr>
          <w:rFonts w:ascii="仿宋" w:eastAsia="仿宋" w:hAnsi="仿宋" w:cs="Times New Roman" w:hint="eastAsia"/>
          <w:snapToGrid/>
          <w:kern w:val="2"/>
          <w:sz w:val="32"/>
          <w:szCs w:val="30"/>
        </w:rPr>
        <w:t>241.64</w:t>
      </w:r>
      <w:r>
        <w:rPr>
          <w:rFonts w:ascii="仿宋" w:eastAsia="仿宋" w:hAnsi="仿宋" w:cs="Times New Roman" w:hint="eastAsia"/>
          <w:snapToGrid/>
          <w:kern w:val="2"/>
          <w:sz w:val="32"/>
          <w:szCs w:val="30"/>
        </w:rPr>
        <w:t>万元，增长</w:t>
      </w:r>
      <w:r w:rsidR="00BB092D">
        <w:rPr>
          <w:rFonts w:ascii="仿宋" w:eastAsia="仿宋" w:hAnsi="仿宋" w:cs="Times New Roman" w:hint="eastAsia"/>
          <w:snapToGrid/>
          <w:kern w:val="2"/>
          <w:sz w:val="32"/>
          <w:szCs w:val="30"/>
        </w:rPr>
        <w:t>2.03</w:t>
      </w:r>
      <w:r>
        <w:rPr>
          <w:rFonts w:ascii="仿宋" w:eastAsia="仿宋" w:hAnsi="仿宋" w:cs="Times New Roman" w:hint="eastAsia"/>
          <w:snapToGrid/>
          <w:kern w:val="2"/>
          <w:sz w:val="32"/>
          <w:szCs w:val="30"/>
        </w:rPr>
        <w:t xml:space="preserve"> %;年末结转和结余 </w:t>
      </w:r>
      <w:r w:rsidR="00BB092D">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万元，较 2020年减少</w:t>
      </w:r>
      <w:r w:rsidR="00BB092D">
        <w:rPr>
          <w:rFonts w:ascii="仿宋" w:eastAsia="仿宋" w:hAnsi="仿宋" w:cs="Times New Roman" w:hint="eastAsia"/>
          <w:snapToGrid/>
          <w:kern w:val="2"/>
          <w:sz w:val="32"/>
          <w:szCs w:val="30"/>
        </w:rPr>
        <w:t>2058.03</w:t>
      </w:r>
      <w:r>
        <w:rPr>
          <w:rFonts w:ascii="仿宋" w:eastAsia="仿宋" w:hAnsi="仿宋" w:cs="Times New Roman" w:hint="eastAsia"/>
          <w:snapToGrid/>
          <w:kern w:val="2"/>
          <w:sz w:val="32"/>
          <w:szCs w:val="30"/>
        </w:rPr>
        <w:t>万元，下降</w:t>
      </w:r>
      <w:r w:rsidR="00BB092D">
        <w:rPr>
          <w:rFonts w:ascii="仿宋" w:eastAsia="仿宋" w:hAnsi="仿宋" w:cs="Times New Roman" w:hint="eastAsia"/>
          <w:snapToGrid/>
          <w:kern w:val="2"/>
          <w:sz w:val="32"/>
          <w:szCs w:val="30"/>
        </w:rPr>
        <w:t>100</w:t>
      </w:r>
      <w:r>
        <w:rPr>
          <w:rFonts w:ascii="仿宋" w:eastAsia="仿宋" w:hAnsi="仿宋" w:cs="Times New Roman" w:hint="eastAsia"/>
          <w:snapToGrid/>
          <w:kern w:val="2"/>
          <w:sz w:val="32"/>
          <w:szCs w:val="30"/>
        </w:rPr>
        <w:t>%，主要原因是∶</w:t>
      </w:r>
      <w:r w:rsidR="00BB092D">
        <w:rPr>
          <w:rFonts w:ascii="仿宋" w:eastAsia="仿宋" w:hAnsi="仿宋" w:cs="Times New Roman" w:hint="eastAsia"/>
          <w:snapToGrid/>
          <w:kern w:val="2"/>
          <w:sz w:val="32"/>
          <w:szCs w:val="30"/>
        </w:rPr>
        <w:t>本年末财政收回额度，单位无结余。</w:t>
      </w:r>
    </w:p>
    <w:p w:rsidR="00214442" w:rsidRDefault="00D26412" w:rsidP="00C97C5B">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 xml:space="preserve">本年支出的具体构成为∶ 基本支出 </w:t>
      </w:r>
      <w:r w:rsidR="00BB092D">
        <w:rPr>
          <w:rFonts w:ascii="仿宋" w:eastAsia="仿宋" w:hAnsi="仿宋" w:cs="Times New Roman" w:hint="eastAsia"/>
          <w:snapToGrid/>
          <w:kern w:val="2"/>
          <w:sz w:val="32"/>
          <w:szCs w:val="30"/>
        </w:rPr>
        <w:t>1031.62万元，</w:t>
      </w:r>
      <w:r>
        <w:rPr>
          <w:rFonts w:ascii="仿宋" w:eastAsia="仿宋" w:hAnsi="仿宋" w:cs="Times New Roman" w:hint="eastAsia"/>
          <w:snapToGrid/>
          <w:kern w:val="2"/>
          <w:sz w:val="32"/>
          <w:szCs w:val="30"/>
        </w:rPr>
        <w:t xml:space="preserve">占 </w:t>
      </w:r>
      <w:r w:rsidR="00BB092D">
        <w:rPr>
          <w:rFonts w:ascii="仿宋" w:eastAsia="仿宋" w:hAnsi="仿宋" w:cs="Times New Roman" w:hint="eastAsia"/>
          <w:snapToGrid/>
          <w:kern w:val="2"/>
          <w:sz w:val="32"/>
          <w:szCs w:val="30"/>
        </w:rPr>
        <w:t>8.51</w:t>
      </w:r>
      <w:r>
        <w:rPr>
          <w:rFonts w:ascii="仿宋" w:eastAsia="仿宋" w:hAnsi="仿宋" w:cs="Times New Roman" w:hint="eastAsia"/>
          <w:snapToGrid/>
          <w:kern w:val="2"/>
          <w:sz w:val="32"/>
          <w:szCs w:val="30"/>
        </w:rPr>
        <w:t xml:space="preserve">%; 项目支出 </w:t>
      </w:r>
      <w:r w:rsidR="00BB092D">
        <w:rPr>
          <w:rFonts w:ascii="仿宋" w:eastAsia="仿宋" w:hAnsi="仿宋" w:cs="Times New Roman" w:hint="eastAsia"/>
          <w:snapToGrid/>
          <w:kern w:val="2"/>
          <w:sz w:val="32"/>
          <w:szCs w:val="30"/>
        </w:rPr>
        <w:t>11090.58</w:t>
      </w:r>
      <w:r>
        <w:rPr>
          <w:rFonts w:ascii="仿宋" w:eastAsia="仿宋" w:hAnsi="仿宋" w:cs="Times New Roman" w:hint="eastAsia"/>
          <w:snapToGrid/>
          <w:kern w:val="2"/>
          <w:sz w:val="32"/>
          <w:szCs w:val="30"/>
        </w:rPr>
        <w:t>万元，占</w:t>
      </w:r>
      <w:r w:rsidR="00BB092D">
        <w:rPr>
          <w:rFonts w:ascii="仿宋" w:eastAsia="仿宋" w:hAnsi="仿宋" w:cs="Times New Roman" w:hint="eastAsia"/>
          <w:snapToGrid/>
          <w:kern w:val="2"/>
          <w:sz w:val="32"/>
          <w:szCs w:val="30"/>
        </w:rPr>
        <w:t>91.49</w:t>
      </w:r>
      <w:r>
        <w:rPr>
          <w:rFonts w:ascii="仿宋" w:eastAsia="仿宋" w:hAnsi="仿宋" w:cs="Times New Roman" w:hint="eastAsia"/>
          <w:snapToGrid/>
          <w:kern w:val="2"/>
          <w:sz w:val="32"/>
          <w:szCs w:val="30"/>
        </w:rPr>
        <w:t xml:space="preserve"> %</w:t>
      </w:r>
      <w:r w:rsidR="00BB092D">
        <w:rPr>
          <w:rFonts w:ascii="仿宋" w:eastAsia="仿宋" w:hAnsi="仿宋" w:cs="Times New Roman" w:hint="eastAsia"/>
          <w:snapToGrid/>
          <w:kern w:val="2"/>
          <w:sz w:val="32"/>
          <w:szCs w:val="30"/>
        </w:rPr>
        <w:t>。</w:t>
      </w:r>
    </w:p>
    <w:p w:rsidR="00214442" w:rsidRDefault="00D26412" w:rsidP="00784397">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三、财政拨款支出决算情况说明</w:t>
      </w:r>
    </w:p>
    <w:p w:rsidR="00214442" w:rsidRDefault="00D26412" w:rsidP="00784397">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本部门2021 年度财政拨款本年支出年初预算数为</w:t>
      </w:r>
      <w:r w:rsidR="008D50B9">
        <w:rPr>
          <w:rFonts w:ascii="仿宋" w:eastAsia="仿宋" w:hAnsi="仿宋" w:cs="Times New Roman" w:hint="eastAsia"/>
          <w:snapToGrid/>
          <w:kern w:val="2"/>
          <w:sz w:val="32"/>
          <w:szCs w:val="30"/>
        </w:rPr>
        <w:t>4700.18</w:t>
      </w:r>
      <w:r>
        <w:rPr>
          <w:rFonts w:ascii="仿宋" w:eastAsia="仿宋" w:hAnsi="仿宋" w:cs="Times New Roman" w:hint="eastAsia"/>
          <w:snapToGrid/>
          <w:kern w:val="2"/>
          <w:sz w:val="32"/>
          <w:szCs w:val="30"/>
        </w:rPr>
        <w:t xml:space="preserve"> </w:t>
      </w:r>
      <w:r w:rsidR="008D50B9">
        <w:rPr>
          <w:rFonts w:ascii="仿宋" w:eastAsia="仿宋" w:hAnsi="仿宋" w:cs="Times New Roman" w:hint="eastAsia"/>
          <w:snapToGrid/>
          <w:kern w:val="2"/>
          <w:sz w:val="32"/>
          <w:szCs w:val="30"/>
        </w:rPr>
        <w:t>万元，</w:t>
      </w:r>
      <w:r>
        <w:rPr>
          <w:rFonts w:ascii="仿宋" w:eastAsia="仿宋" w:hAnsi="仿宋" w:cs="Times New Roman" w:hint="eastAsia"/>
          <w:snapToGrid/>
          <w:kern w:val="2"/>
          <w:sz w:val="32"/>
          <w:szCs w:val="30"/>
        </w:rPr>
        <w:t xml:space="preserve">决算数为 </w:t>
      </w:r>
      <w:r w:rsidR="008D50B9">
        <w:rPr>
          <w:rFonts w:ascii="仿宋" w:eastAsia="仿宋" w:hAnsi="仿宋" w:cs="Times New Roman" w:hint="eastAsia"/>
          <w:snapToGrid/>
          <w:kern w:val="2"/>
          <w:sz w:val="32"/>
          <w:szCs w:val="30"/>
        </w:rPr>
        <w:t>12122.2</w:t>
      </w:r>
      <w:r>
        <w:rPr>
          <w:rFonts w:ascii="仿宋" w:eastAsia="仿宋" w:hAnsi="仿宋" w:cs="Times New Roman" w:hint="eastAsia"/>
          <w:snapToGrid/>
          <w:kern w:val="2"/>
          <w:sz w:val="32"/>
          <w:szCs w:val="30"/>
        </w:rPr>
        <w:t>万元，完成年初预算的</w:t>
      </w:r>
      <w:r w:rsidR="008D50B9">
        <w:rPr>
          <w:rFonts w:ascii="仿宋" w:eastAsia="仿宋" w:hAnsi="仿宋" w:cs="Times New Roman" w:hint="eastAsia"/>
          <w:snapToGrid/>
          <w:kern w:val="2"/>
          <w:sz w:val="32"/>
          <w:szCs w:val="30"/>
        </w:rPr>
        <w:t>257.91</w:t>
      </w:r>
      <w:r>
        <w:rPr>
          <w:rFonts w:ascii="仿宋" w:eastAsia="仿宋" w:hAnsi="仿宋" w:cs="Times New Roman" w:hint="eastAsia"/>
          <w:snapToGrid/>
          <w:kern w:val="2"/>
          <w:sz w:val="32"/>
          <w:szCs w:val="30"/>
        </w:rPr>
        <w:t xml:space="preserve"> %。其中∶</w:t>
      </w:r>
    </w:p>
    <w:p w:rsidR="00214442" w:rsidRDefault="00D26412" w:rsidP="00784397">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（一）</w:t>
      </w:r>
      <w:r w:rsidR="008D50B9">
        <w:rPr>
          <w:rFonts w:ascii="仿宋" w:eastAsia="仿宋" w:hAnsi="仿宋" w:hint="eastAsia"/>
          <w:sz w:val="32"/>
          <w:szCs w:val="30"/>
        </w:rPr>
        <w:t>教育支出年初预算数为0万元，决算数为200万元，主要原因：</w:t>
      </w:r>
      <w:r w:rsidR="008D50B9" w:rsidRPr="006806C6">
        <w:rPr>
          <w:rFonts w:ascii="仿宋" w:eastAsia="仿宋" w:hAnsi="仿宋" w:hint="eastAsia"/>
          <w:sz w:val="32"/>
          <w:szCs w:val="30"/>
        </w:rPr>
        <w:t>经费来源于上级拨款，未列入本级财政预算</w:t>
      </w:r>
      <w:r w:rsidR="008D50B9">
        <w:rPr>
          <w:rFonts w:ascii="仿宋" w:eastAsia="仿宋" w:hAnsi="仿宋" w:hint="eastAsia"/>
          <w:sz w:val="32"/>
          <w:szCs w:val="30"/>
        </w:rPr>
        <w:t>。</w:t>
      </w:r>
    </w:p>
    <w:p w:rsidR="008D50B9" w:rsidRDefault="00D26412" w:rsidP="008D50B9">
      <w:pPr>
        <w:spacing w:line="560" w:lineRule="exact"/>
        <w:ind w:firstLineChars="200" w:firstLine="640"/>
        <w:rPr>
          <w:rFonts w:ascii="仿宋" w:eastAsia="仿宋" w:hAnsi="仿宋"/>
          <w:sz w:val="32"/>
          <w:szCs w:val="30"/>
        </w:rPr>
      </w:pPr>
      <w:r>
        <w:rPr>
          <w:rFonts w:ascii="仿宋" w:eastAsia="仿宋" w:hAnsi="仿宋" w:cs="Times New Roman" w:hint="eastAsia"/>
          <w:snapToGrid/>
          <w:kern w:val="2"/>
          <w:sz w:val="32"/>
          <w:szCs w:val="30"/>
        </w:rPr>
        <w:lastRenderedPageBreak/>
        <w:t>（二）</w:t>
      </w:r>
      <w:r w:rsidR="008D50B9" w:rsidRPr="00ED7A02">
        <w:rPr>
          <w:rFonts w:ascii="仿宋" w:eastAsia="仿宋" w:hAnsi="仿宋" w:hint="eastAsia"/>
          <w:sz w:val="32"/>
          <w:szCs w:val="30"/>
        </w:rPr>
        <w:t>社会保障和就业支出年初预算数为</w:t>
      </w:r>
      <w:r w:rsidR="008D50B9">
        <w:rPr>
          <w:rFonts w:ascii="仿宋" w:eastAsia="仿宋" w:hAnsi="仿宋" w:hint="eastAsia"/>
          <w:sz w:val="32"/>
          <w:szCs w:val="30"/>
        </w:rPr>
        <w:t>15.28</w:t>
      </w:r>
      <w:r w:rsidR="008D50B9" w:rsidRPr="00ED7A02">
        <w:rPr>
          <w:rFonts w:ascii="仿宋" w:eastAsia="仿宋" w:hAnsi="仿宋" w:hint="eastAsia"/>
          <w:sz w:val="32"/>
          <w:szCs w:val="30"/>
        </w:rPr>
        <w:t>万元，决算数为</w:t>
      </w:r>
      <w:r w:rsidR="008D50B9">
        <w:rPr>
          <w:rFonts w:ascii="仿宋" w:eastAsia="仿宋" w:hAnsi="仿宋" w:hint="eastAsia"/>
          <w:sz w:val="32"/>
          <w:szCs w:val="30"/>
        </w:rPr>
        <w:t>159.25</w:t>
      </w:r>
      <w:r w:rsidR="008D50B9" w:rsidRPr="00ED7A02">
        <w:rPr>
          <w:rFonts w:ascii="仿宋" w:eastAsia="仿宋" w:hAnsi="仿宋" w:hint="eastAsia"/>
          <w:sz w:val="32"/>
          <w:szCs w:val="30"/>
        </w:rPr>
        <w:t>万元，</w:t>
      </w:r>
      <w:r w:rsidR="008D50B9" w:rsidRPr="00E65D06">
        <w:rPr>
          <w:rFonts w:ascii="仿宋" w:eastAsia="仿宋" w:hAnsi="仿宋" w:hint="eastAsia"/>
          <w:sz w:val="32"/>
          <w:szCs w:val="30"/>
        </w:rPr>
        <w:t>主要原因是：部分经费未列入财政预算。</w:t>
      </w:r>
    </w:p>
    <w:p w:rsidR="008D50B9" w:rsidRPr="006806C6" w:rsidRDefault="008D50B9" w:rsidP="008D50B9">
      <w:pPr>
        <w:spacing w:line="560" w:lineRule="exact"/>
        <w:ind w:firstLineChars="200" w:firstLine="640"/>
        <w:rPr>
          <w:rFonts w:ascii="仿宋" w:eastAsia="仿宋" w:hAnsi="仿宋"/>
          <w:sz w:val="32"/>
          <w:szCs w:val="30"/>
        </w:rPr>
      </w:pPr>
      <w:r>
        <w:rPr>
          <w:rFonts w:ascii="仿宋" w:eastAsia="仿宋" w:hAnsi="仿宋" w:hint="eastAsia"/>
          <w:sz w:val="32"/>
          <w:szCs w:val="30"/>
        </w:rPr>
        <w:t>（三）卫生健康支出年初预算数为4662.97万元，决算数为11752.42万元，主要原因是：部分</w:t>
      </w:r>
      <w:r w:rsidRPr="006806C6">
        <w:rPr>
          <w:rFonts w:ascii="仿宋" w:eastAsia="仿宋" w:hAnsi="仿宋" w:hint="eastAsia"/>
          <w:sz w:val="32"/>
          <w:szCs w:val="30"/>
        </w:rPr>
        <w:t>经费未列入本级财政预算</w:t>
      </w:r>
      <w:r>
        <w:rPr>
          <w:rFonts w:ascii="仿宋" w:eastAsia="仿宋" w:hAnsi="仿宋" w:hint="eastAsia"/>
          <w:sz w:val="32"/>
          <w:szCs w:val="30"/>
        </w:rPr>
        <w:t>。</w:t>
      </w:r>
    </w:p>
    <w:p w:rsidR="00214442" w:rsidRPr="008D50B9" w:rsidRDefault="008D50B9" w:rsidP="008D50B9">
      <w:pPr>
        <w:spacing w:line="560" w:lineRule="exact"/>
        <w:ind w:firstLineChars="200" w:firstLine="640"/>
        <w:rPr>
          <w:rFonts w:ascii="仿宋" w:eastAsia="仿宋" w:hAnsi="仿宋"/>
          <w:sz w:val="32"/>
          <w:szCs w:val="30"/>
        </w:rPr>
      </w:pPr>
      <w:r>
        <w:rPr>
          <w:rFonts w:ascii="仿宋" w:eastAsia="仿宋" w:hAnsi="仿宋" w:hint="eastAsia"/>
          <w:sz w:val="32"/>
          <w:szCs w:val="30"/>
        </w:rPr>
        <w:t>（四）住房保障支出年初预算数为21.93万元，决算数为10.53万元。</w:t>
      </w:r>
    </w:p>
    <w:p w:rsidR="00214442" w:rsidRDefault="00D26412" w:rsidP="00784397">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四、一般公共预算财政拨款基本支出决算情况说明</w:t>
      </w:r>
    </w:p>
    <w:p w:rsidR="00BB60BC" w:rsidRDefault="00D26412" w:rsidP="00BB60BC">
      <w:pPr>
        <w:kinsoku/>
        <w:autoSpaceDE/>
        <w:autoSpaceDN/>
        <w:adjustRightInd/>
        <w:snapToGrid/>
        <w:spacing w:line="560" w:lineRule="exact"/>
        <w:ind w:firstLineChars="200" w:firstLine="640"/>
        <w:textAlignment w:val="auto"/>
        <w:rPr>
          <w:rFonts w:ascii="仿宋" w:eastAsia="仿宋" w:hAnsi="仿宋" w:cs="Times New Roman" w:hint="eastAsia"/>
          <w:snapToGrid/>
          <w:kern w:val="2"/>
          <w:sz w:val="32"/>
          <w:szCs w:val="30"/>
        </w:rPr>
      </w:pPr>
      <w:r>
        <w:rPr>
          <w:rFonts w:ascii="仿宋" w:eastAsia="仿宋" w:hAnsi="仿宋" w:cs="Times New Roman" w:hint="eastAsia"/>
          <w:snapToGrid/>
          <w:kern w:val="2"/>
          <w:sz w:val="32"/>
          <w:szCs w:val="30"/>
        </w:rPr>
        <w:t>本部门 2021年度一般公共预算财政拨款基本支出</w:t>
      </w:r>
      <w:r w:rsidR="00914334">
        <w:rPr>
          <w:rFonts w:ascii="仿宋" w:eastAsia="仿宋" w:hAnsi="仿宋" w:cs="Times New Roman" w:hint="eastAsia"/>
          <w:snapToGrid/>
          <w:kern w:val="2"/>
          <w:sz w:val="32"/>
          <w:szCs w:val="30"/>
        </w:rPr>
        <w:t>1031.62</w:t>
      </w:r>
      <w:r>
        <w:rPr>
          <w:rFonts w:ascii="仿宋" w:eastAsia="仿宋" w:hAnsi="仿宋" w:cs="Times New Roman" w:hint="eastAsia"/>
          <w:snapToGrid/>
          <w:kern w:val="2"/>
          <w:sz w:val="32"/>
          <w:szCs w:val="30"/>
        </w:rPr>
        <w:t>万元，其中∶</w:t>
      </w:r>
    </w:p>
    <w:p w:rsidR="00BB60BC" w:rsidRDefault="00D26412" w:rsidP="00BB60BC">
      <w:pPr>
        <w:kinsoku/>
        <w:autoSpaceDE/>
        <w:autoSpaceDN/>
        <w:adjustRightInd/>
        <w:snapToGrid/>
        <w:spacing w:line="560" w:lineRule="exact"/>
        <w:ind w:firstLineChars="200" w:firstLine="640"/>
        <w:textAlignment w:val="auto"/>
        <w:rPr>
          <w:rFonts w:ascii="仿宋" w:eastAsia="仿宋" w:hAnsi="仿宋" w:cs="Times New Roman" w:hint="eastAsia"/>
          <w:snapToGrid/>
          <w:kern w:val="2"/>
          <w:sz w:val="32"/>
          <w:szCs w:val="30"/>
        </w:rPr>
      </w:pPr>
      <w:r>
        <w:rPr>
          <w:rFonts w:ascii="仿宋" w:eastAsia="仿宋" w:hAnsi="仿宋" w:cs="Times New Roman" w:hint="eastAsia"/>
          <w:snapToGrid/>
          <w:kern w:val="2"/>
          <w:sz w:val="32"/>
          <w:szCs w:val="30"/>
        </w:rPr>
        <w:t xml:space="preserve">（一）工资福利支出 </w:t>
      </w:r>
      <w:r w:rsidR="00914334">
        <w:rPr>
          <w:rFonts w:ascii="仿宋" w:eastAsia="仿宋" w:hAnsi="仿宋" w:cs="Times New Roman" w:hint="eastAsia"/>
          <w:snapToGrid/>
          <w:kern w:val="2"/>
          <w:sz w:val="32"/>
          <w:szCs w:val="30"/>
        </w:rPr>
        <w:t>624.75</w:t>
      </w:r>
      <w:r>
        <w:rPr>
          <w:rFonts w:ascii="仿宋" w:eastAsia="仿宋" w:hAnsi="仿宋" w:cs="Times New Roman" w:hint="eastAsia"/>
          <w:snapToGrid/>
          <w:kern w:val="2"/>
          <w:sz w:val="32"/>
          <w:szCs w:val="30"/>
        </w:rPr>
        <w:t>万元，较 2020年增加</w:t>
      </w:r>
      <w:r w:rsidR="0092223A">
        <w:rPr>
          <w:rFonts w:ascii="仿宋" w:eastAsia="仿宋" w:hAnsi="仿宋" w:cs="Times New Roman" w:hint="eastAsia"/>
          <w:snapToGrid/>
          <w:kern w:val="2"/>
          <w:sz w:val="32"/>
          <w:szCs w:val="30"/>
        </w:rPr>
        <w:t>25.74</w:t>
      </w:r>
      <w:r>
        <w:rPr>
          <w:rFonts w:ascii="仿宋" w:eastAsia="仿宋" w:hAnsi="仿宋" w:cs="Times New Roman" w:hint="eastAsia"/>
          <w:snapToGrid/>
          <w:kern w:val="2"/>
          <w:sz w:val="32"/>
          <w:szCs w:val="30"/>
        </w:rPr>
        <w:t>万元，增长</w:t>
      </w:r>
      <w:r w:rsidR="0092223A">
        <w:rPr>
          <w:rFonts w:ascii="仿宋" w:eastAsia="仿宋" w:hAnsi="仿宋" w:cs="Times New Roman" w:hint="eastAsia"/>
          <w:snapToGrid/>
          <w:kern w:val="2"/>
          <w:sz w:val="32"/>
          <w:szCs w:val="30"/>
        </w:rPr>
        <w:t>4.3</w:t>
      </w:r>
      <w:r>
        <w:rPr>
          <w:rFonts w:ascii="仿宋" w:eastAsia="仿宋" w:hAnsi="仿宋" w:cs="Times New Roman" w:hint="eastAsia"/>
          <w:snapToGrid/>
          <w:kern w:val="2"/>
          <w:sz w:val="32"/>
          <w:szCs w:val="30"/>
        </w:rPr>
        <w:t xml:space="preserve"> %。</w:t>
      </w:r>
    </w:p>
    <w:p w:rsidR="00214442" w:rsidRDefault="00D26412" w:rsidP="00BB60BC">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 xml:space="preserve">（二）商品和服务支出 </w:t>
      </w:r>
      <w:r w:rsidR="00914334">
        <w:rPr>
          <w:rFonts w:ascii="仿宋" w:eastAsia="仿宋" w:hAnsi="仿宋" w:cs="Times New Roman" w:hint="eastAsia"/>
          <w:snapToGrid/>
          <w:kern w:val="2"/>
          <w:sz w:val="32"/>
          <w:szCs w:val="30"/>
        </w:rPr>
        <w:t>300.17</w:t>
      </w:r>
      <w:r>
        <w:rPr>
          <w:rFonts w:ascii="仿宋" w:eastAsia="仿宋" w:hAnsi="仿宋" w:cs="Times New Roman" w:hint="eastAsia"/>
          <w:snapToGrid/>
          <w:kern w:val="2"/>
          <w:sz w:val="32"/>
          <w:szCs w:val="30"/>
        </w:rPr>
        <w:t>万元，较  2020年减少</w:t>
      </w:r>
      <w:r w:rsidR="0092223A">
        <w:rPr>
          <w:rFonts w:ascii="仿宋" w:eastAsia="仿宋" w:hAnsi="仿宋" w:cs="Times New Roman" w:hint="eastAsia"/>
          <w:snapToGrid/>
          <w:kern w:val="2"/>
          <w:sz w:val="32"/>
          <w:szCs w:val="30"/>
        </w:rPr>
        <w:t>46.47</w:t>
      </w:r>
      <w:r>
        <w:rPr>
          <w:rFonts w:ascii="仿宋" w:eastAsia="仿宋" w:hAnsi="仿宋" w:cs="Times New Roman" w:hint="eastAsia"/>
          <w:snapToGrid/>
          <w:kern w:val="2"/>
          <w:sz w:val="32"/>
          <w:szCs w:val="30"/>
        </w:rPr>
        <w:t>万元，</w:t>
      </w:r>
      <w:r w:rsidR="0092223A">
        <w:rPr>
          <w:rFonts w:ascii="仿宋" w:eastAsia="仿宋" w:hAnsi="仿宋" w:cs="Times New Roman" w:hint="eastAsia"/>
          <w:snapToGrid/>
          <w:kern w:val="2"/>
          <w:sz w:val="32"/>
          <w:szCs w:val="30"/>
        </w:rPr>
        <w:t>下降13.4</w:t>
      </w:r>
      <w:r>
        <w:rPr>
          <w:rFonts w:ascii="仿宋" w:eastAsia="仿宋" w:hAnsi="仿宋" w:cs="Times New Roman" w:hint="eastAsia"/>
          <w:snapToGrid/>
          <w:kern w:val="2"/>
          <w:sz w:val="32"/>
          <w:szCs w:val="30"/>
        </w:rPr>
        <w:t xml:space="preserve"> %。</w:t>
      </w:r>
    </w:p>
    <w:p w:rsidR="00214442" w:rsidRDefault="00D26412" w:rsidP="00BB60BC">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 xml:space="preserve">（三）对个人和家庭补助支出 </w:t>
      </w:r>
      <w:r w:rsidR="00914334">
        <w:rPr>
          <w:rFonts w:ascii="仿宋" w:eastAsia="仿宋" w:hAnsi="仿宋" w:cs="Times New Roman" w:hint="eastAsia"/>
          <w:snapToGrid/>
          <w:kern w:val="2"/>
          <w:sz w:val="32"/>
          <w:szCs w:val="30"/>
        </w:rPr>
        <w:t>99.07</w:t>
      </w:r>
      <w:r>
        <w:rPr>
          <w:rFonts w:ascii="仿宋" w:eastAsia="仿宋" w:hAnsi="仿宋" w:cs="Times New Roman" w:hint="eastAsia"/>
          <w:snapToGrid/>
          <w:kern w:val="2"/>
          <w:sz w:val="32"/>
          <w:szCs w:val="30"/>
        </w:rPr>
        <w:t>万元，较</w:t>
      </w:r>
      <w:r w:rsidR="004C6F43">
        <w:rPr>
          <w:rFonts w:ascii="仿宋" w:eastAsia="仿宋" w:hAnsi="仿宋" w:cs="Times New Roman" w:hint="eastAsia"/>
          <w:snapToGrid/>
          <w:kern w:val="2"/>
          <w:sz w:val="32"/>
          <w:szCs w:val="30"/>
        </w:rPr>
        <w:t xml:space="preserve"> </w:t>
      </w:r>
      <w:r>
        <w:rPr>
          <w:rFonts w:ascii="仿宋" w:eastAsia="仿宋" w:hAnsi="仿宋" w:cs="Times New Roman" w:hint="eastAsia"/>
          <w:snapToGrid/>
          <w:kern w:val="2"/>
          <w:sz w:val="32"/>
          <w:szCs w:val="30"/>
        </w:rPr>
        <w:t>2020</w:t>
      </w:r>
      <w:r w:rsidR="004C6F43">
        <w:rPr>
          <w:rFonts w:ascii="仿宋" w:eastAsia="仿宋" w:hAnsi="仿宋" w:cs="Times New Roman" w:hint="eastAsia"/>
          <w:snapToGrid/>
          <w:kern w:val="2"/>
          <w:sz w:val="32"/>
          <w:szCs w:val="30"/>
        </w:rPr>
        <w:t>年</w:t>
      </w:r>
      <w:r>
        <w:rPr>
          <w:rFonts w:ascii="仿宋" w:eastAsia="仿宋" w:hAnsi="仿宋" w:cs="Times New Roman" w:hint="eastAsia"/>
          <w:snapToGrid/>
          <w:kern w:val="2"/>
          <w:sz w:val="32"/>
          <w:szCs w:val="30"/>
        </w:rPr>
        <w:t>减少</w:t>
      </w:r>
      <w:r w:rsidR="004C6F43">
        <w:rPr>
          <w:rFonts w:ascii="仿宋" w:eastAsia="仿宋" w:hAnsi="仿宋" w:cs="Times New Roman" w:hint="eastAsia"/>
          <w:snapToGrid/>
          <w:kern w:val="2"/>
          <w:sz w:val="32"/>
          <w:szCs w:val="30"/>
        </w:rPr>
        <w:t>23.92</w:t>
      </w:r>
      <w:r>
        <w:rPr>
          <w:rFonts w:ascii="仿宋" w:eastAsia="仿宋" w:hAnsi="仿宋" w:cs="Times New Roman" w:hint="eastAsia"/>
          <w:snapToGrid/>
          <w:kern w:val="2"/>
          <w:sz w:val="32"/>
          <w:szCs w:val="30"/>
        </w:rPr>
        <w:t>万元，下降</w:t>
      </w:r>
      <w:r w:rsidR="004C6F43">
        <w:rPr>
          <w:rFonts w:ascii="仿宋" w:eastAsia="仿宋" w:hAnsi="仿宋" w:cs="Times New Roman" w:hint="eastAsia"/>
          <w:snapToGrid/>
          <w:kern w:val="2"/>
          <w:sz w:val="32"/>
          <w:szCs w:val="30"/>
        </w:rPr>
        <w:t>19.45</w:t>
      </w:r>
      <w:r>
        <w:rPr>
          <w:rFonts w:ascii="仿宋" w:eastAsia="仿宋" w:hAnsi="仿宋" w:cs="Times New Roman" w:hint="eastAsia"/>
          <w:snapToGrid/>
          <w:kern w:val="2"/>
          <w:sz w:val="32"/>
          <w:szCs w:val="30"/>
        </w:rPr>
        <w:t xml:space="preserve"> %。</w:t>
      </w:r>
    </w:p>
    <w:p w:rsidR="00214442" w:rsidRDefault="00D26412" w:rsidP="00BB60BC">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 xml:space="preserve">（四）资本性支出 </w:t>
      </w:r>
      <w:r w:rsidR="00914334">
        <w:rPr>
          <w:rFonts w:ascii="仿宋" w:eastAsia="仿宋" w:hAnsi="仿宋" w:cs="Times New Roman" w:hint="eastAsia"/>
          <w:snapToGrid/>
          <w:kern w:val="2"/>
          <w:sz w:val="32"/>
          <w:szCs w:val="30"/>
        </w:rPr>
        <w:t>7.63</w:t>
      </w:r>
      <w:r>
        <w:rPr>
          <w:rFonts w:ascii="仿宋" w:eastAsia="仿宋" w:hAnsi="仿宋" w:cs="Times New Roman" w:hint="eastAsia"/>
          <w:snapToGrid/>
          <w:kern w:val="2"/>
          <w:sz w:val="32"/>
          <w:szCs w:val="30"/>
        </w:rPr>
        <w:t>万元，较</w:t>
      </w:r>
      <w:r w:rsidR="004C6F43">
        <w:rPr>
          <w:rFonts w:ascii="仿宋" w:eastAsia="仿宋" w:hAnsi="仿宋" w:cs="Times New Roman" w:hint="eastAsia"/>
          <w:snapToGrid/>
          <w:kern w:val="2"/>
          <w:sz w:val="32"/>
          <w:szCs w:val="30"/>
        </w:rPr>
        <w:t xml:space="preserve"> </w:t>
      </w:r>
      <w:r>
        <w:rPr>
          <w:rFonts w:ascii="仿宋" w:eastAsia="仿宋" w:hAnsi="仿宋" w:cs="Times New Roman" w:hint="eastAsia"/>
          <w:snapToGrid/>
          <w:kern w:val="2"/>
          <w:sz w:val="32"/>
          <w:szCs w:val="30"/>
        </w:rPr>
        <w:t>2020年增加</w:t>
      </w:r>
      <w:r w:rsidR="004C6F43">
        <w:rPr>
          <w:rFonts w:ascii="仿宋" w:eastAsia="仿宋" w:hAnsi="仿宋" w:cs="Times New Roman" w:hint="eastAsia"/>
          <w:snapToGrid/>
          <w:kern w:val="2"/>
          <w:sz w:val="32"/>
          <w:szCs w:val="30"/>
        </w:rPr>
        <w:t>7.63</w:t>
      </w:r>
      <w:r>
        <w:rPr>
          <w:rFonts w:ascii="仿宋" w:eastAsia="仿宋" w:hAnsi="仿宋" w:cs="Times New Roman" w:hint="eastAsia"/>
          <w:snapToGrid/>
          <w:kern w:val="2"/>
          <w:sz w:val="32"/>
          <w:szCs w:val="30"/>
        </w:rPr>
        <w:t>万元，增长</w:t>
      </w:r>
      <w:r w:rsidR="004C6F43">
        <w:rPr>
          <w:rFonts w:ascii="仿宋" w:eastAsia="仿宋" w:hAnsi="仿宋" w:cs="Times New Roman" w:hint="eastAsia"/>
          <w:snapToGrid/>
          <w:kern w:val="2"/>
          <w:sz w:val="32"/>
          <w:szCs w:val="30"/>
        </w:rPr>
        <w:t>100</w:t>
      </w:r>
      <w:r>
        <w:rPr>
          <w:rFonts w:ascii="仿宋" w:eastAsia="仿宋" w:hAnsi="仿宋" w:cs="Times New Roman" w:hint="eastAsia"/>
          <w:snapToGrid/>
          <w:kern w:val="2"/>
          <w:sz w:val="32"/>
          <w:szCs w:val="30"/>
        </w:rPr>
        <w:t xml:space="preserve"> %，</w:t>
      </w:r>
      <w:r w:rsidRPr="002F5BE3">
        <w:rPr>
          <w:rFonts w:ascii="仿宋" w:eastAsia="仿宋" w:hAnsi="仿宋" w:cs="Times New Roman" w:hint="eastAsia"/>
          <w:snapToGrid/>
          <w:kern w:val="2"/>
          <w:sz w:val="32"/>
          <w:szCs w:val="30"/>
        </w:rPr>
        <w:t>主要原因是∶</w:t>
      </w:r>
      <w:r w:rsidR="002F5BE3" w:rsidRPr="002F5BE3">
        <w:rPr>
          <w:rFonts w:ascii="仿宋" w:eastAsia="仿宋" w:hAnsi="仿宋" w:cs="Times New Roman" w:hint="eastAsia"/>
          <w:snapToGrid/>
          <w:kern w:val="2"/>
          <w:sz w:val="32"/>
          <w:szCs w:val="30"/>
        </w:rPr>
        <w:t>采购办公设备</w:t>
      </w:r>
      <w:r>
        <w:rPr>
          <w:rFonts w:ascii="仿宋" w:eastAsia="仿宋" w:hAnsi="仿宋" w:cs="Times New Roman" w:hint="eastAsia"/>
          <w:snapToGrid/>
          <w:kern w:val="2"/>
          <w:sz w:val="32"/>
          <w:szCs w:val="30"/>
        </w:rPr>
        <w:t>。</w:t>
      </w:r>
    </w:p>
    <w:p w:rsidR="00214442" w:rsidRDefault="00D26412" w:rsidP="00784397">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五、一般公共预算财政拨款“三公”经费支出决算情况说明</w:t>
      </w:r>
    </w:p>
    <w:p w:rsidR="00214442" w:rsidRDefault="00D26412" w:rsidP="00784397">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本部门2021年度一般公共预算财政拨款“三公”经费支出年初预算数</w:t>
      </w:r>
      <w:r w:rsidRPr="00546607">
        <w:rPr>
          <w:rFonts w:ascii="仿宋" w:eastAsia="仿宋" w:hAnsi="仿宋" w:cs="Times New Roman" w:hint="eastAsia"/>
          <w:snapToGrid/>
          <w:color w:val="auto"/>
          <w:kern w:val="2"/>
          <w:sz w:val="32"/>
          <w:szCs w:val="30"/>
        </w:rPr>
        <w:t xml:space="preserve">为 </w:t>
      </w:r>
      <w:r w:rsidR="00546607" w:rsidRPr="00546607">
        <w:rPr>
          <w:rFonts w:ascii="仿宋" w:eastAsia="仿宋" w:hAnsi="仿宋" w:cs="Times New Roman" w:hint="eastAsia"/>
          <w:snapToGrid/>
          <w:color w:val="auto"/>
          <w:kern w:val="2"/>
          <w:sz w:val="32"/>
          <w:szCs w:val="30"/>
        </w:rPr>
        <w:t>8</w:t>
      </w:r>
      <w:r w:rsidRPr="00546607">
        <w:rPr>
          <w:rFonts w:ascii="仿宋" w:eastAsia="仿宋" w:hAnsi="仿宋" w:cs="Times New Roman" w:hint="eastAsia"/>
          <w:snapToGrid/>
          <w:color w:val="auto"/>
          <w:kern w:val="2"/>
          <w:sz w:val="32"/>
          <w:szCs w:val="30"/>
        </w:rPr>
        <w:t>万元，</w:t>
      </w:r>
      <w:r>
        <w:rPr>
          <w:rFonts w:ascii="仿宋" w:eastAsia="仿宋" w:hAnsi="仿宋" w:cs="Times New Roman" w:hint="eastAsia"/>
          <w:snapToGrid/>
          <w:kern w:val="2"/>
          <w:sz w:val="32"/>
          <w:szCs w:val="30"/>
        </w:rPr>
        <w:t xml:space="preserve">决算数为 </w:t>
      </w:r>
      <w:r w:rsidR="002F5BE3">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万元，决算数较</w:t>
      </w:r>
      <w:r w:rsidR="00546607">
        <w:rPr>
          <w:rFonts w:ascii="仿宋" w:eastAsia="仿宋" w:hAnsi="仿宋" w:cs="Times New Roman" w:hint="eastAsia"/>
          <w:snapToGrid/>
          <w:kern w:val="2"/>
          <w:sz w:val="32"/>
          <w:szCs w:val="30"/>
        </w:rPr>
        <w:t>2020</w:t>
      </w:r>
      <w:r>
        <w:rPr>
          <w:rFonts w:ascii="仿宋" w:eastAsia="仿宋" w:hAnsi="仿宋" w:cs="Times New Roman" w:hint="eastAsia"/>
          <w:snapToGrid/>
          <w:kern w:val="2"/>
          <w:sz w:val="32"/>
          <w:szCs w:val="30"/>
        </w:rPr>
        <w:t>年</w:t>
      </w:r>
      <w:r w:rsidR="002F5BE3">
        <w:rPr>
          <w:rFonts w:ascii="仿宋" w:eastAsia="仿宋" w:hAnsi="仿宋" w:cs="Times New Roman" w:hint="eastAsia"/>
          <w:snapToGrid/>
          <w:kern w:val="2"/>
          <w:sz w:val="32"/>
          <w:szCs w:val="30"/>
        </w:rPr>
        <w:t>无增减</w:t>
      </w:r>
      <w:r>
        <w:rPr>
          <w:rFonts w:ascii="仿宋" w:eastAsia="仿宋" w:hAnsi="仿宋" w:cs="Times New Roman" w:hint="eastAsia"/>
          <w:snapToGrid/>
          <w:kern w:val="2"/>
          <w:sz w:val="32"/>
          <w:szCs w:val="30"/>
        </w:rPr>
        <w:t>，其中∶</w:t>
      </w:r>
    </w:p>
    <w:p w:rsidR="00214442" w:rsidRDefault="00D26412" w:rsidP="00784397">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lastRenderedPageBreak/>
        <w:t>（一）因公出国（境）支出年初预算数为</w:t>
      </w:r>
      <w:r w:rsidR="00546607">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 xml:space="preserve"> 万元，决算数为 </w:t>
      </w:r>
      <w:r w:rsidR="00546607">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万元，决算数较</w:t>
      </w:r>
      <w:r w:rsidR="00546607">
        <w:rPr>
          <w:rFonts w:ascii="仿宋" w:eastAsia="仿宋" w:hAnsi="仿宋" w:cs="Times New Roman" w:hint="eastAsia"/>
          <w:snapToGrid/>
          <w:kern w:val="2"/>
          <w:sz w:val="32"/>
          <w:szCs w:val="30"/>
        </w:rPr>
        <w:t xml:space="preserve"> </w:t>
      </w:r>
      <w:r>
        <w:rPr>
          <w:rFonts w:ascii="仿宋" w:eastAsia="仿宋" w:hAnsi="仿宋" w:cs="Times New Roman" w:hint="eastAsia"/>
          <w:snapToGrid/>
          <w:kern w:val="2"/>
          <w:sz w:val="32"/>
          <w:szCs w:val="30"/>
        </w:rPr>
        <w:t>2020年</w:t>
      </w:r>
      <w:r w:rsidR="00546607">
        <w:rPr>
          <w:rFonts w:ascii="仿宋" w:eastAsia="仿宋" w:hAnsi="仿宋" w:cs="Times New Roman" w:hint="eastAsia"/>
          <w:snapToGrid/>
          <w:kern w:val="2"/>
          <w:sz w:val="32"/>
          <w:szCs w:val="30"/>
        </w:rPr>
        <w:t>无增减</w:t>
      </w:r>
      <w:r>
        <w:rPr>
          <w:rFonts w:ascii="仿宋" w:eastAsia="仿宋" w:hAnsi="仿宋" w:cs="Times New Roman" w:hint="eastAsia"/>
          <w:snapToGrid/>
          <w:kern w:val="2"/>
          <w:sz w:val="32"/>
          <w:szCs w:val="30"/>
        </w:rPr>
        <w:t>。主要原因是∶</w:t>
      </w:r>
      <w:r w:rsidR="00546607" w:rsidRPr="002428DB">
        <w:rPr>
          <w:rFonts w:ascii="仿宋" w:eastAsia="仿宋" w:hAnsi="仿宋" w:hint="eastAsia"/>
          <w:sz w:val="32"/>
          <w:szCs w:val="30"/>
        </w:rPr>
        <w:t>我单位无因公出国（境）费</w:t>
      </w:r>
      <w:r>
        <w:rPr>
          <w:rFonts w:ascii="仿宋" w:eastAsia="仿宋" w:hAnsi="仿宋" w:cs="Times New Roman" w:hint="eastAsia"/>
          <w:snapToGrid/>
          <w:kern w:val="2"/>
          <w:sz w:val="32"/>
          <w:szCs w:val="30"/>
        </w:rPr>
        <w:t>。</w:t>
      </w:r>
    </w:p>
    <w:p w:rsidR="00214442" w:rsidRDefault="00D26412" w:rsidP="00784397">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 xml:space="preserve">（二）公务接待费支出年初预算数为 </w:t>
      </w:r>
      <w:r w:rsidR="00546607">
        <w:rPr>
          <w:rFonts w:ascii="仿宋" w:eastAsia="仿宋" w:hAnsi="仿宋" w:cs="Times New Roman" w:hint="eastAsia"/>
          <w:snapToGrid/>
          <w:kern w:val="2"/>
          <w:sz w:val="32"/>
          <w:szCs w:val="30"/>
        </w:rPr>
        <w:t>8</w:t>
      </w:r>
      <w:r>
        <w:rPr>
          <w:rFonts w:ascii="仿宋" w:eastAsia="仿宋" w:hAnsi="仿宋" w:cs="Times New Roman" w:hint="eastAsia"/>
          <w:snapToGrid/>
          <w:kern w:val="2"/>
          <w:sz w:val="32"/>
          <w:szCs w:val="30"/>
        </w:rPr>
        <w:t>万元，决算数为</w:t>
      </w:r>
      <w:r w:rsidR="00546607">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 xml:space="preserve"> 万 元，</w:t>
      </w:r>
      <w:r w:rsidR="00546607">
        <w:rPr>
          <w:rFonts w:ascii="仿宋" w:eastAsia="仿宋" w:hAnsi="仿宋" w:cs="Times New Roman" w:hint="eastAsia"/>
          <w:snapToGrid/>
          <w:kern w:val="2"/>
          <w:sz w:val="32"/>
          <w:szCs w:val="30"/>
        </w:rPr>
        <w:t>决算数较 2020年无增减。决算数较年初预算数减少</w:t>
      </w:r>
      <w:r>
        <w:rPr>
          <w:rFonts w:ascii="仿宋" w:eastAsia="仿宋" w:hAnsi="仿宋" w:cs="Times New Roman" w:hint="eastAsia"/>
          <w:snapToGrid/>
          <w:kern w:val="2"/>
          <w:sz w:val="32"/>
          <w:szCs w:val="30"/>
        </w:rPr>
        <w:t>的主要原因是∶</w:t>
      </w:r>
      <w:r w:rsidR="00546607" w:rsidRPr="002428DB">
        <w:rPr>
          <w:rFonts w:ascii="仿宋" w:eastAsia="仿宋" w:hAnsi="仿宋" w:hint="eastAsia"/>
          <w:sz w:val="32"/>
          <w:szCs w:val="30"/>
        </w:rPr>
        <w:t>我单位严格控制公务接待，</w:t>
      </w:r>
      <w:r w:rsidR="00546607">
        <w:rPr>
          <w:rFonts w:ascii="仿宋" w:eastAsia="仿宋" w:hAnsi="仿宋" w:hint="eastAsia"/>
          <w:sz w:val="32"/>
          <w:szCs w:val="30"/>
        </w:rPr>
        <w:t>本年度无公务接待费支出</w:t>
      </w:r>
      <w:r>
        <w:rPr>
          <w:rFonts w:ascii="仿宋" w:eastAsia="仿宋" w:hAnsi="仿宋" w:cs="Times New Roman" w:hint="eastAsia"/>
          <w:snapToGrid/>
          <w:kern w:val="2"/>
          <w:sz w:val="32"/>
          <w:szCs w:val="30"/>
        </w:rPr>
        <w:t>。全年国内公务接待</w:t>
      </w:r>
      <w:r w:rsidR="00546607">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 xml:space="preserve"> 批，累计接待</w:t>
      </w:r>
      <w:r w:rsidR="00546607">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 xml:space="preserve"> 人次，其中外事接待</w:t>
      </w:r>
      <w:r w:rsidR="00546607">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 xml:space="preserve"> 批，累计接待 </w:t>
      </w:r>
      <w:r w:rsidR="00546607">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人次，主要为∶</w:t>
      </w:r>
      <w:r w:rsidR="00546607">
        <w:rPr>
          <w:rFonts w:ascii="仿宋" w:eastAsia="仿宋" w:hAnsi="仿宋" w:hint="eastAsia"/>
          <w:sz w:val="32"/>
          <w:szCs w:val="30"/>
        </w:rPr>
        <w:t>本年度无公务接待费支出</w:t>
      </w:r>
      <w:r>
        <w:rPr>
          <w:rFonts w:ascii="仿宋" w:eastAsia="仿宋" w:hAnsi="仿宋" w:cs="Times New Roman" w:hint="eastAsia"/>
          <w:snapToGrid/>
          <w:kern w:val="2"/>
          <w:sz w:val="32"/>
          <w:szCs w:val="30"/>
        </w:rPr>
        <w:t>。</w:t>
      </w:r>
    </w:p>
    <w:p w:rsidR="00546607" w:rsidRPr="002428DB" w:rsidRDefault="00D26412" w:rsidP="00546607">
      <w:pPr>
        <w:spacing w:line="560" w:lineRule="exact"/>
        <w:ind w:firstLineChars="200" w:firstLine="640"/>
        <w:jc w:val="both"/>
        <w:rPr>
          <w:rFonts w:ascii="仿宋" w:eastAsia="仿宋" w:hAnsi="仿宋"/>
          <w:sz w:val="32"/>
          <w:szCs w:val="30"/>
        </w:rPr>
      </w:pPr>
      <w:r>
        <w:rPr>
          <w:rFonts w:ascii="仿宋" w:eastAsia="仿宋" w:hAnsi="仿宋" w:cs="Times New Roman" w:hint="eastAsia"/>
          <w:snapToGrid/>
          <w:kern w:val="2"/>
          <w:sz w:val="32"/>
          <w:szCs w:val="30"/>
        </w:rPr>
        <w:t xml:space="preserve">（三）公务用车购置及运行维护费支出 </w:t>
      </w:r>
      <w:r w:rsidR="00546607">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万元，其中公务用车购置年初预算数为</w:t>
      </w:r>
      <w:r w:rsidR="00546607">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 xml:space="preserve"> 万元，决算数为 </w:t>
      </w:r>
      <w:r w:rsidR="00546607">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万元</w:t>
      </w:r>
      <w:r w:rsidR="00546607">
        <w:rPr>
          <w:rFonts w:ascii="仿宋" w:eastAsia="仿宋" w:hAnsi="仿宋" w:cs="Times New Roman" w:hint="eastAsia"/>
          <w:snapToGrid/>
          <w:kern w:val="2"/>
          <w:sz w:val="32"/>
          <w:szCs w:val="30"/>
        </w:rPr>
        <w:t>，</w:t>
      </w:r>
      <w:r>
        <w:rPr>
          <w:rFonts w:ascii="仿宋" w:eastAsia="仿宋" w:hAnsi="仿宋" w:cs="Times New Roman" w:hint="eastAsia"/>
          <w:snapToGrid/>
          <w:kern w:val="2"/>
          <w:sz w:val="32"/>
          <w:szCs w:val="30"/>
        </w:rPr>
        <w:t>决算数较  20</w:t>
      </w:r>
      <w:r w:rsidR="00546607">
        <w:rPr>
          <w:rFonts w:ascii="仿宋" w:eastAsia="仿宋" w:hAnsi="仿宋" w:cs="Times New Roman" w:hint="eastAsia"/>
          <w:snapToGrid/>
          <w:kern w:val="2"/>
          <w:sz w:val="32"/>
          <w:szCs w:val="30"/>
        </w:rPr>
        <w:t>20</w:t>
      </w:r>
      <w:r>
        <w:rPr>
          <w:rFonts w:ascii="仿宋" w:eastAsia="仿宋" w:hAnsi="仿宋" w:cs="Times New Roman" w:hint="eastAsia"/>
          <w:snapToGrid/>
          <w:kern w:val="2"/>
          <w:sz w:val="32"/>
          <w:szCs w:val="30"/>
        </w:rPr>
        <w:t>年</w:t>
      </w:r>
      <w:r w:rsidR="00546607">
        <w:rPr>
          <w:rFonts w:ascii="仿宋" w:eastAsia="仿宋" w:hAnsi="仿宋" w:cs="Times New Roman" w:hint="eastAsia"/>
          <w:snapToGrid/>
          <w:kern w:val="2"/>
          <w:sz w:val="32"/>
          <w:szCs w:val="30"/>
        </w:rPr>
        <w:t>无增减</w:t>
      </w:r>
      <w:r>
        <w:rPr>
          <w:rFonts w:ascii="仿宋" w:eastAsia="仿宋" w:hAnsi="仿宋" w:cs="Times New Roman" w:hint="eastAsia"/>
          <w:snapToGrid/>
          <w:kern w:val="2"/>
          <w:sz w:val="32"/>
          <w:szCs w:val="30"/>
        </w:rPr>
        <w:t>，主要原因是</w:t>
      </w:r>
      <w:r w:rsidR="00546607" w:rsidRPr="002428DB">
        <w:rPr>
          <w:rFonts w:ascii="仿宋" w:eastAsia="仿宋" w:hAnsi="仿宋" w:hint="eastAsia"/>
          <w:sz w:val="32"/>
          <w:szCs w:val="30"/>
        </w:rPr>
        <w:t>公车改革</w:t>
      </w:r>
      <w:r w:rsidR="00546607">
        <w:rPr>
          <w:rFonts w:ascii="仿宋" w:eastAsia="仿宋" w:hAnsi="仿宋" w:cs="Times New Roman" w:hint="eastAsia"/>
          <w:snapToGrid/>
          <w:kern w:val="2"/>
          <w:sz w:val="32"/>
          <w:szCs w:val="30"/>
        </w:rPr>
        <w:t>。</w:t>
      </w:r>
      <w:r>
        <w:rPr>
          <w:rFonts w:ascii="仿宋" w:eastAsia="仿宋" w:hAnsi="仿宋" w:cs="Times New Roman" w:hint="eastAsia"/>
          <w:snapToGrid/>
          <w:kern w:val="2"/>
          <w:sz w:val="32"/>
          <w:szCs w:val="30"/>
        </w:rPr>
        <w:t>全年购置公务用车</w:t>
      </w:r>
      <w:r w:rsidR="00546607">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 xml:space="preserve"> </w:t>
      </w:r>
      <w:r w:rsidR="00546607">
        <w:rPr>
          <w:rFonts w:ascii="仿宋" w:eastAsia="仿宋" w:hAnsi="仿宋" w:cs="Times New Roman" w:hint="eastAsia"/>
          <w:snapToGrid/>
          <w:kern w:val="2"/>
          <w:sz w:val="32"/>
          <w:szCs w:val="30"/>
        </w:rPr>
        <w:t>辆，</w:t>
      </w:r>
      <w:r w:rsidR="00546607" w:rsidRPr="002428DB">
        <w:rPr>
          <w:rFonts w:ascii="仿宋" w:eastAsia="仿宋" w:hAnsi="仿宋" w:hint="eastAsia"/>
          <w:sz w:val="32"/>
          <w:szCs w:val="30"/>
        </w:rPr>
        <w:t>决算数较年初预算数无增减，主要原因是∶公车改革;公务用车运行维护费支出年初预算数为 0万元，决算数为0 万元，决算数较</w:t>
      </w:r>
      <w:r w:rsidR="00546607">
        <w:rPr>
          <w:rFonts w:ascii="仿宋" w:eastAsia="仿宋" w:hAnsi="仿宋" w:hint="eastAsia"/>
          <w:sz w:val="32"/>
          <w:szCs w:val="30"/>
        </w:rPr>
        <w:t xml:space="preserve"> 2020</w:t>
      </w:r>
      <w:r w:rsidR="00546607" w:rsidRPr="002428DB">
        <w:rPr>
          <w:rFonts w:ascii="仿宋" w:eastAsia="仿宋" w:hAnsi="仿宋" w:hint="eastAsia"/>
          <w:sz w:val="32"/>
          <w:szCs w:val="30"/>
        </w:rPr>
        <w:t>年无增减，主要原因是公车改革</w:t>
      </w:r>
      <w:r w:rsidR="00546607">
        <w:rPr>
          <w:rFonts w:ascii="仿宋" w:eastAsia="仿宋" w:hAnsi="仿宋" w:hint="eastAsia"/>
          <w:sz w:val="32"/>
          <w:szCs w:val="30"/>
        </w:rPr>
        <w:t>；</w:t>
      </w:r>
      <w:r w:rsidR="00546607" w:rsidRPr="002428DB">
        <w:rPr>
          <w:rFonts w:ascii="仿宋" w:eastAsia="仿宋" w:hAnsi="仿宋" w:hint="eastAsia"/>
          <w:sz w:val="32"/>
          <w:szCs w:val="30"/>
        </w:rPr>
        <w:t xml:space="preserve">年末公务用车保有0 </w:t>
      </w:r>
      <w:r w:rsidR="00546607">
        <w:rPr>
          <w:rFonts w:ascii="仿宋" w:eastAsia="仿宋" w:hAnsi="仿宋" w:hint="eastAsia"/>
          <w:sz w:val="32"/>
          <w:szCs w:val="30"/>
        </w:rPr>
        <w:t>辆，</w:t>
      </w:r>
      <w:r w:rsidR="00546607" w:rsidRPr="002428DB">
        <w:rPr>
          <w:rFonts w:ascii="仿宋" w:eastAsia="仿宋" w:hAnsi="仿宋" w:hint="eastAsia"/>
          <w:sz w:val="32"/>
          <w:szCs w:val="30"/>
        </w:rPr>
        <w:t>决算数较年初预算数无增减的主要原因是∶公车改革。</w:t>
      </w:r>
    </w:p>
    <w:p w:rsidR="00214442" w:rsidRDefault="00D26412" w:rsidP="00546607">
      <w:pPr>
        <w:kinsoku/>
        <w:autoSpaceDE/>
        <w:autoSpaceDN/>
        <w:adjustRightInd/>
        <w:snapToGrid/>
        <w:spacing w:line="560" w:lineRule="exact"/>
        <w:ind w:firstLineChars="200" w:firstLine="60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六、机关运行经费支出情况说明</w:t>
      </w:r>
    </w:p>
    <w:p w:rsidR="00214442" w:rsidRDefault="00D26412" w:rsidP="00784397">
      <w:pPr>
        <w:kinsoku/>
        <w:autoSpaceDE/>
        <w:autoSpaceDN/>
        <w:adjustRightInd/>
        <w:snapToGrid/>
        <w:spacing w:line="560" w:lineRule="exact"/>
        <w:ind w:firstLineChars="200" w:firstLine="640"/>
        <w:textAlignment w:val="auto"/>
        <w:rPr>
          <w:rFonts w:ascii="仿宋" w:eastAsia="仿宋" w:hAnsi="仿宋" w:cs="仿宋"/>
          <w:sz w:val="30"/>
          <w:szCs w:val="30"/>
        </w:rPr>
      </w:pPr>
      <w:r>
        <w:rPr>
          <w:rFonts w:ascii="仿宋" w:eastAsia="仿宋" w:hAnsi="仿宋" w:cs="Times New Roman" w:hint="eastAsia"/>
          <w:snapToGrid/>
          <w:kern w:val="2"/>
          <w:sz w:val="32"/>
          <w:szCs w:val="30"/>
        </w:rPr>
        <w:t xml:space="preserve">本部门 2021年度机关运行经费支出 </w:t>
      </w:r>
      <w:r w:rsidR="00392A12">
        <w:rPr>
          <w:rFonts w:ascii="仿宋" w:eastAsia="仿宋" w:hAnsi="仿宋" w:cs="Times New Roman" w:hint="eastAsia"/>
          <w:snapToGrid/>
          <w:kern w:val="2"/>
          <w:sz w:val="32"/>
          <w:szCs w:val="30"/>
        </w:rPr>
        <w:t>307.81</w:t>
      </w:r>
      <w:r>
        <w:rPr>
          <w:rFonts w:ascii="仿宋" w:eastAsia="仿宋" w:hAnsi="仿宋" w:cs="Times New Roman" w:hint="eastAsia"/>
          <w:snapToGrid/>
          <w:kern w:val="2"/>
          <w:sz w:val="32"/>
          <w:szCs w:val="30"/>
        </w:rPr>
        <w:t>万元（与部门决算中行政单位和参照公务员法管理事业单位一般公共预算财政拨款基本支出中公用经费之和保持一致）。</w:t>
      </w:r>
    </w:p>
    <w:p w:rsidR="00214442" w:rsidRDefault="00D26412" w:rsidP="00784397">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七、政府采购支出情况说明</w:t>
      </w:r>
    </w:p>
    <w:p w:rsidR="00214442" w:rsidRDefault="00D26412" w:rsidP="00784397">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lastRenderedPageBreak/>
        <w:t xml:space="preserve">本部门 2021年度政府采购支出总额 </w:t>
      </w:r>
      <w:r w:rsidR="00392A12">
        <w:rPr>
          <w:rFonts w:ascii="仿宋" w:eastAsia="仿宋" w:hAnsi="仿宋" w:cs="Times New Roman" w:hint="eastAsia"/>
          <w:snapToGrid/>
          <w:kern w:val="2"/>
          <w:sz w:val="32"/>
          <w:szCs w:val="30"/>
        </w:rPr>
        <w:t>171.87</w:t>
      </w:r>
      <w:r>
        <w:rPr>
          <w:rFonts w:ascii="仿宋" w:eastAsia="仿宋" w:hAnsi="仿宋" w:cs="Times New Roman" w:hint="eastAsia"/>
          <w:snapToGrid/>
          <w:kern w:val="2"/>
          <w:sz w:val="32"/>
          <w:szCs w:val="30"/>
        </w:rPr>
        <w:t xml:space="preserve">万元，其中∶ 政府采购货物支出 </w:t>
      </w:r>
      <w:r w:rsidR="00392A12">
        <w:rPr>
          <w:rFonts w:ascii="仿宋" w:eastAsia="仿宋" w:hAnsi="仿宋" w:cs="Times New Roman" w:hint="eastAsia"/>
          <w:snapToGrid/>
          <w:kern w:val="2"/>
          <w:sz w:val="32"/>
          <w:szCs w:val="30"/>
        </w:rPr>
        <w:t>126.57</w:t>
      </w:r>
      <w:r>
        <w:rPr>
          <w:rFonts w:ascii="仿宋" w:eastAsia="仿宋" w:hAnsi="仿宋" w:cs="Times New Roman" w:hint="eastAsia"/>
          <w:snapToGrid/>
          <w:kern w:val="2"/>
          <w:sz w:val="32"/>
          <w:szCs w:val="30"/>
        </w:rPr>
        <w:t xml:space="preserve">万元、政府采购工程支出 </w:t>
      </w:r>
      <w:r w:rsidR="00392A12">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万元、政府采购服务支出</w:t>
      </w:r>
      <w:r w:rsidR="00392A12">
        <w:rPr>
          <w:rFonts w:ascii="仿宋" w:eastAsia="仿宋" w:hAnsi="仿宋" w:cs="Times New Roman" w:hint="eastAsia"/>
          <w:snapToGrid/>
          <w:kern w:val="2"/>
          <w:sz w:val="32"/>
          <w:szCs w:val="30"/>
        </w:rPr>
        <w:t>45.3</w:t>
      </w:r>
      <w:r>
        <w:rPr>
          <w:rFonts w:ascii="仿宋" w:eastAsia="仿宋" w:hAnsi="仿宋" w:cs="Times New Roman" w:hint="eastAsia"/>
          <w:snapToGrid/>
          <w:kern w:val="2"/>
          <w:sz w:val="32"/>
          <w:szCs w:val="30"/>
        </w:rPr>
        <w:t xml:space="preserve"> 万元。</w:t>
      </w:r>
    </w:p>
    <w:p w:rsidR="00214442" w:rsidRDefault="00D26412" w:rsidP="00784397">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八、国有资产占用情况说明。</w:t>
      </w:r>
    </w:p>
    <w:p w:rsidR="00214442" w:rsidRPr="00392A12" w:rsidRDefault="00392A12" w:rsidP="00392A12">
      <w:pPr>
        <w:spacing w:line="560" w:lineRule="exact"/>
        <w:ind w:firstLineChars="200" w:firstLine="640"/>
        <w:rPr>
          <w:rFonts w:ascii="仿宋" w:eastAsia="仿宋" w:hAnsi="仿宋" w:hint="eastAsia"/>
          <w:sz w:val="32"/>
          <w:szCs w:val="30"/>
        </w:rPr>
      </w:pPr>
      <w:r>
        <w:rPr>
          <w:rFonts w:ascii="仿宋" w:eastAsia="仿宋" w:hAnsi="仿宋" w:hint="eastAsia"/>
          <w:sz w:val="32"/>
          <w:szCs w:val="30"/>
        </w:rPr>
        <w:t>截止2020 年12月31日，</w:t>
      </w:r>
      <w:r w:rsidRPr="0094294D">
        <w:rPr>
          <w:rFonts w:ascii="仿宋" w:eastAsia="仿宋" w:hAnsi="仿宋" w:hint="eastAsia"/>
          <w:sz w:val="32"/>
          <w:szCs w:val="30"/>
        </w:rPr>
        <w:t>本</w:t>
      </w:r>
      <w:r>
        <w:rPr>
          <w:rFonts w:ascii="仿宋" w:eastAsia="仿宋" w:hAnsi="仿宋" w:hint="eastAsia"/>
          <w:sz w:val="32"/>
          <w:szCs w:val="30"/>
        </w:rPr>
        <w:t>单位</w:t>
      </w:r>
      <w:r w:rsidRPr="0094294D">
        <w:rPr>
          <w:rFonts w:ascii="仿宋" w:eastAsia="仿宋" w:hAnsi="仿宋" w:hint="eastAsia"/>
          <w:sz w:val="32"/>
          <w:szCs w:val="30"/>
        </w:rPr>
        <w:t>共有车辆 0辆。</w:t>
      </w:r>
      <w:r w:rsidR="00EB447F" w:rsidRPr="00EB447F">
        <w:pict>
          <v:shapetype id="_x0000_t202" coordsize="21600,21600" o:spt="202" path="m,l,21600r21600,l21600,xe">
            <v:stroke joinstyle="miter"/>
            <v:path gradientshapeok="t" o:connecttype="rect"/>
          </v:shapetype>
          <v:shape id="TextBox 3" o:spid="_x0000_s1027" type="#_x0000_t202" style="position:absolute;left:0;text-align:left;margin-left:388.8pt;margin-top:550.6pt;width:2.55pt;height:21.85pt;rotation:180;z-index:251722752;mso-position-horizontal-relative:page;mso-position-vertical-relative:page" o:gfxdata="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Cgjtj2QAAAA0BAAAPAAAAAAAAAAEAIAAAACIAAABkcnMvZG93bnJldi54&#10;bWxQSwECFAAUAAAACACHTuJAVbSIIjICAABqBAAADgAAAAAAAAABACAAAAAoAQAAZHJzL2Uyb0Rv&#10;Yy54bWxQSwUGAAAAAAYABgBZAQAAzAUAAAAA&#10;" o:allowincell="f" filled="f" stroked="f" strokeweight="0">
            <v:textbox inset="0,0,0,0">
              <w:txbxContent>
                <w:p w:rsidR="00214442" w:rsidRDefault="00D26412">
                  <w:pPr>
                    <w:spacing w:before="20" w:line="225" w:lineRule="auto"/>
                    <w:ind w:firstLine="20"/>
                    <w:rPr>
                      <w:rFonts w:ascii="仿宋" w:eastAsia="仿宋" w:hAnsi="仿宋" w:cs="仿宋"/>
                      <w:sz w:val="28"/>
                      <w:szCs w:val="28"/>
                    </w:rPr>
                  </w:pPr>
                  <w:r>
                    <w:rPr>
                      <w:rFonts w:ascii="仿宋" w:eastAsia="仿宋" w:hAnsi="仿宋" w:cs="仿宋"/>
                      <w:spacing w:val="-1"/>
                      <w:w w:val="4"/>
                      <w:sz w:val="28"/>
                      <w:szCs w:val="28"/>
                    </w:rPr>
                    <w:t>及</w:t>
                  </w:r>
                </w:p>
              </w:txbxContent>
            </v:textbox>
            <w10:wrap anchorx="page" anchory="page"/>
          </v:shape>
        </w:pict>
      </w:r>
    </w:p>
    <w:p w:rsidR="00214442" w:rsidRDefault="00D26412" w:rsidP="00784397">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九、预算绩效情况说明</w:t>
      </w:r>
    </w:p>
    <w:p w:rsidR="00214442" w:rsidRDefault="00D26412" w:rsidP="00784397">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（一）绩效管理工作开展情况。</w:t>
      </w:r>
    </w:p>
    <w:p w:rsidR="00214442" w:rsidRDefault="00D26412" w:rsidP="00784397">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根据预算绩效管理要求，我部门组织对2021 年度一般公共预算项目支出所有二级项目</w:t>
      </w:r>
      <w:r w:rsidR="00C251DA">
        <w:rPr>
          <w:rFonts w:ascii="仿宋" w:eastAsia="仿宋" w:hAnsi="仿宋" w:cs="Times New Roman" w:hint="eastAsia"/>
          <w:snapToGrid/>
          <w:kern w:val="2"/>
          <w:sz w:val="32"/>
          <w:szCs w:val="30"/>
        </w:rPr>
        <w:t>8</w:t>
      </w:r>
      <w:r>
        <w:rPr>
          <w:rFonts w:ascii="仿宋" w:eastAsia="仿宋" w:hAnsi="仿宋" w:cs="Times New Roman" w:hint="eastAsia"/>
          <w:snapToGrid/>
          <w:kern w:val="2"/>
          <w:sz w:val="32"/>
          <w:szCs w:val="30"/>
        </w:rPr>
        <w:t xml:space="preserve">个全面开展绩效自评，共涉及资金 </w:t>
      </w:r>
      <w:r w:rsidR="00031A9B">
        <w:rPr>
          <w:rFonts w:ascii="仿宋" w:eastAsia="仿宋" w:hAnsi="仿宋" w:cs="Times New Roman" w:hint="eastAsia"/>
          <w:snapToGrid/>
          <w:kern w:val="2"/>
          <w:sz w:val="32"/>
          <w:szCs w:val="30"/>
        </w:rPr>
        <w:t>4311.1575</w:t>
      </w:r>
      <w:r>
        <w:rPr>
          <w:rFonts w:ascii="仿宋" w:eastAsia="仿宋" w:hAnsi="仿宋" w:cs="Times New Roman" w:hint="eastAsia"/>
          <w:snapToGrid/>
          <w:kern w:val="2"/>
          <w:sz w:val="32"/>
          <w:szCs w:val="30"/>
        </w:rPr>
        <w:t xml:space="preserve"> 万元，占一般公共预算项目支出总额的</w:t>
      </w:r>
      <w:r w:rsidR="00031A9B">
        <w:rPr>
          <w:rFonts w:ascii="仿宋" w:eastAsia="仿宋" w:hAnsi="仿宋" w:cs="Times New Roman" w:hint="eastAsia"/>
          <w:snapToGrid/>
          <w:kern w:val="2"/>
          <w:sz w:val="32"/>
          <w:szCs w:val="30"/>
        </w:rPr>
        <w:t>100</w:t>
      </w:r>
      <w:r>
        <w:rPr>
          <w:rFonts w:ascii="仿宋" w:eastAsia="仿宋" w:hAnsi="仿宋" w:cs="Times New Roman" w:hint="eastAsia"/>
          <w:snapToGrid/>
          <w:kern w:val="2"/>
          <w:sz w:val="32"/>
          <w:szCs w:val="30"/>
        </w:rPr>
        <w:t xml:space="preserve"> %。</w:t>
      </w:r>
    </w:p>
    <w:p w:rsidR="00214442" w:rsidRDefault="00D26412" w:rsidP="00031A9B">
      <w:pPr>
        <w:kinsoku/>
        <w:autoSpaceDE/>
        <w:autoSpaceDN/>
        <w:adjustRightInd/>
        <w:snapToGrid/>
        <w:spacing w:line="560" w:lineRule="exact"/>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组织对“</w:t>
      </w:r>
      <w:r w:rsidR="00031A9B">
        <w:rPr>
          <w:rFonts w:ascii="仿宋" w:eastAsia="仿宋" w:hAnsi="仿宋" w:cs="Times New Roman" w:hint="eastAsia"/>
          <w:snapToGrid/>
          <w:kern w:val="2"/>
          <w:sz w:val="32"/>
          <w:szCs w:val="30"/>
        </w:rPr>
        <w:t>基本公共卫生服务经费</w:t>
      </w:r>
      <w:r>
        <w:rPr>
          <w:rFonts w:ascii="仿宋" w:eastAsia="仿宋" w:hAnsi="仿宋" w:cs="Times New Roman" w:hint="eastAsia"/>
          <w:snapToGrid/>
          <w:kern w:val="2"/>
          <w:sz w:val="32"/>
          <w:szCs w:val="30"/>
        </w:rPr>
        <w:t>”、“</w:t>
      </w:r>
      <w:r w:rsidR="00031A9B">
        <w:rPr>
          <w:rFonts w:ascii="仿宋" w:eastAsia="仿宋" w:hAnsi="仿宋" w:cs="Times New Roman" w:hint="eastAsia"/>
          <w:snapToGrid/>
          <w:kern w:val="2"/>
          <w:sz w:val="32"/>
          <w:szCs w:val="30"/>
        </w:rPr>
        <w:t>计生事业费</w:t>
      </w:r>
      <w:r>
        <w:rPr>
          <w:rFonts w:ascii="仿宋" w:eastAsia="仿宋" w:hAnsi="仿宋" w:cs="Times New Roman" w:hint="eastAsia"/>
          <w:snapToGrid/>
          <w:kern w:val="2"/>
          <w:sz w:val="32"/>
          <w:szCs w:val="30"/>
        </w:rPr>
        <w:t xml:space="preserve">”等 </w:t>
      </w:r>
      <w:r w:rsidR="00031A9B">
        <w:rPr>
          <w:rFonts w:ascii="仿宋" w:eastAsia="仿宋" w:hAnsi="仿宋" w:cs="Times New Roman" w:hint="eastAsia"/>
          <w:snapToGrid/>
          <w:kern w:val="2"/>
          <w:sz w:val="32"/>
          <w:szCs w:val="30"/>
        </w:rPr>
        <w:t>8</w:t>
      </w:r>
      <w:r>
        <w:rPr>
          <w:rFonts w:ascii="仿宋" w:eastAsia="仿宋" w:hAnsi="仿宋" w:cs="Times New Roman" w:hint="eastAsia"/>
          <w:snapToGrid/>
          <w:kern w:val="2"/>
          <w:sz w:val="32"/>
          <w:szCs w:val="30"/>
        </w:rPr>
        <w:t>个项目开展了部门评价，涉及一般公共预算支出</w:t>
      </w:r>
      <w:r w:rsidR="00031A9B">
        <w:rPr>
          <w:rFonts w:ascii="仿宋" w:eastAsia="仿宋" w:hAnsi="仿宋" w:cs="Times New Roman" w:hint="eastAsia"/>
          <w:snapToGrid/>
          <w:kern w:val="2"/>
          <w:sz w:val="32"/>
          <w:szCs w:val="30"/>
        </w:rPr>
        <w:t>4311.1575</w:t>
      </w:r>
      <w:r>
        <w:rPr>
          <w:rFonts w:ascii="仿宋" w:eastAsia="仿宋" w:hAnsi="仿宋" w:cs="Times New Roman" w:hint="eastAsia"/>
          <w:snapToGrid/>
          <w:kern w:val="2"/>
          <w:sz w:val="32"/>
          <w:szCs w:val="30"/>
        </w:rPr>
        <w:t xml:space="preserve"> 万元，政府性基金预算支出</w:t>
      </w:r>
      <w:r w:rsidR="00031A9B">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 xml:space="preserve"> </w:t>
      </w:r>
      <w:r w:rsidR="00031A9B">
        <w:rPr>
          <w:rFonts w:ascii="仿宋" w:eastAsia="仿宋" w:hAnsi="仿宋" w:cs="Times New Roman" w:hint="eastAsia"/>
          <w:snapToGrid/>
          <w:kern w:val="2"/>
          <w:sz w:val="32"/>
          <w:szCs w:val="30"/>
        </w:rPr>
        <w:t>万元。</w:t>
      </w:r>
      <w:r w:rsidR="00031A9B">
        <w:rPr>
          <w:rFonts w:ascii="仿宋" w:eastAsia="仿宋" w:hAnsi="仿宋" w:cs="Times New Roman"/>
          <w:snapToGrid/>
          <w:kern w:val="2"/>
          <w:sz w:val="32"/>
          <w:szCs w:val="30"/>
        </w:rPr>
        <w:t xml:space="preserve"> </w:t>
      </w:r>
    </w:p>
    <w:p w:rsidR="00214442" w:rsidRDefault="00D26412" w:rsidP="00784397">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（二）部门决算中项目绩效自评结果（应当将2021年度市级部门决算项目绩效自评综述和《项目支出绩效自评表》进行公开）。</w:t>
      </w:r>
    </w:p>
    <w:p w:rsidR="00214442" w:rsidRDefault="00D26412" w:rsidP="00784397">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我部门今年在市级部门决算中反映</w:t>
      </w:r>
      <w:r w:rsidR="00031A9B">
        <w:rPr>
          <w:rFonts w:ascii="仿宋" w:eastAsia="仿宋" w:hAnsi="仿宋" w:cs="Times New Roman" w:hint="eastAsia"/>
          <w:snapToGrid/>
          <w:kern w:val="2"/>
          <w:sz w:val="32"/>
          <w:szCs w:val="30"/>
        </w:rPr>
        <w:t>基本公共卫生服务经费</w:t>
      </w:r>
      <w:r>
        <w:rPr>
          <w:rFonts w:ascii="仿宋" w:eastAsia="仿宋" w:hAnsi="仿宋" w:cs="Times New Roman" w:hint="eastAsia"/>
          <w:snapToGrid/>
          <w:kern w:val="2"/>
          <w:sz w:val="32"/>
          <w:szCs w:val="30"/>
        </w:rPr>
        <w:t>项目绩效自评结果 。</w:t>
      </w:r>
    </w:p>
    <w:p w:rsidR="00214442" w:rsidRDefault="00D26412" w:rsidP="00A328FF">
      <w:pPr>
        <w:kinsoku/>
        <w:autoSpaceDE/>
        <w:autoSpaceDN/>
        <w:adjustRightInd/>
        <w:snapToGrid/>
        <w:spacing w:line="560" w:lineRule="exact"/>
        <w:ind w:firstLineChars="200" w:firstLine="640"/>
        <w:jc w:val="both"/>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项目绩效自评总体综述∶ 根据年初设定的绩效目标，</w:t>
      </w:r>
      <w:r w:rsidR="00031A9B">
        <w:rPr>
          <w:rFonts w:ascii="仿宋" w:eastAsia="仿宋" w:hAnsi="仿宋" w:cs="Times New Roman" w:hint="eastAsia"/>
          <w:snapToGrid/>
          <w:kern w:val="2"/>
          <w:sz w:val="32"/>
          <w:szCs w:val="30"/>
        </w:rPr>
        <w:t>基本公共卫生服务经费</w:t>
      </w:r>
      <w:r>
        <w:rPr>
          <w:rFonts w:ascii="仿宋" w:eastAsia="仿宋" w:hAnsi="仿宋" w:cs="Times New Roman" w:hint="eastAsia"/>
          <w:snapToGrid/>
          <w:kern w:val="2"/>
          <w:sz w:val="32"/>
          <w:szCs w:val="30"/>
        </w:rPr>
        <w:t>项目绩效自评得分为</w:t>
      </w:r>
      <w:r w:rsidR="00031A9B">
        <w:rPr>
          <w:rFonts w:ascii="仿宋" w:eastAsia="仿宋" w:hAnsi="仿宋" w:cs="Times New Roman" w:hint="eastAsia"/>
          <w:snapToGrid/>
          <w:kern w:val="2"/>
          <w:sz w:val="32"/>
          <w:szCs w:val="30"/>
        </w:rPr>
        <w:t>97.91</w:t>
      </w:r>
      <w:r>
        <w:rPr>
          <w:rFonts w:ascii="仿宋" w:eastAsia="仿宋" w:hAnsi="仿宋" w:cs="Times New Roman" w:hint="eastAsia"/>
          <w:snapToGrid/>
          <w:kern w:val="2"/>
          <w:sz w:val="32"/>
          <w:szCs w:val="30"/>
        </w:rPr>
        <w:t xml:space="preserve"> 分。项目全年预算数为</w:t>
      </w:r>
      <w:r w:rsidR="00031A9B">
        <w:rPr>
          <w:rFonts w:ascii="仿宋" w:eastAsia="仿宋" w:hAnsi="仿宋" w:cs="Times New Roman" w:hint="eastAsia"/>
          <w:snapToGrid/>
          <w:kern w:val="2"/>
          <w:sz w:val="32"/>
          <w:szCs w:val="30"/>
        </w:rPr>
        <w:t>423.04</w:t>
      </w:r>
      <w:r>
        <w:rPr>
          <w:rFonts w:ascii="仿宋" w:eastAsia="仿宋" w:hAnsi="仿宋" w:cs="Times New Roman" w:hint="eastAsia"/>
          <w:snapToGrid/>
          <w:kern w:val="2"/>
          <w:sz w:val="32"/>
          <w:szCs w:val="30"/>
        </w:rPr>
        <w:t xml:space="preserve"> 万元，执行数为</w:t>
      </w:r>
      <w:r w:rsidR="00031A9B">
        <w:rPr>
          <w:rFonts w:ascii="仿宋" w:eastAsia="仿宋" w:hAnsi="仿宋" w:cs="Times New Roman" w:hint="eastAsia"/>
          <w:snapToGrid/>
          <w:kern w:val="2"/>
          <w:sz w:val="32"/>
          <w:szCs w:val="30"/>
        </w:rPr>
        <w:t>423.04</w:t>
      </w:r>
      <w:r>
        <w:rPr>
          <w:rFonts w:ascii="仿宋" w:eastAsia="仿宋" w:hAnsi="仿宋" w:cs="Times New Roman" w:hint="eastAsia"/>
          <w:snapToGrid/>
          <w:kern w:val="2"/>
          <w:sz w:val="32"/>
          <w:szCs w:val="30"/>
        </w:rPr>
        <w:t>万元，完成预算的</w:t>
      </w:r>
      <w:r w:rsidR="00031A9B">
        <w:rPr>
          <w:rFonts w:ascii="仿宋" w:eastAsia="仿宋" w:hAnsi="仿宋" w:cs="Times New Roman" w:hint="eastAsia"/>
          <w:snapToGrid/>
          <w:kern w:val="2"/>
          <w:sz w:val="32"/>
          <w:szCs w:val="30"/>
        </w:rPr>
        <w:t>100</w:t>
      </w:r>
      <w:r>
        <w:rPr>
          <w:rFonts w:ascii="仿宋" w:eastAsia="仿宋" w:hAnsi="仿宋" w:cs="Times New Roman" w:hint="eastAsia"/>
          <w:snapToGrid/>
          <w:kern w:val="2"/>
          <w:sz w:val="32"/>
          <w:szCs w:val="30"/>
        </w:rPr>
        <w:t xml:space="preserve"> %。项目绩效目标完成情况∶ </w:t>
      </w:r>
      <w:r w:rsidR="00A328FF" w:rsidRPr="00A328FF">
        <w:rPr>
          <w:rFonts w:ascii="仿宋" w:eastAsia="仿宋" w:hAnsi="仿宋" w:cs="Times New Roman" w:hint="eastAsia"/>
          <w:snapToGrid/>
          <w:kern w:val="2"/>
          <w:sz w:val="32"/>
          <w:szCs w:val="30"/>
        </w:rPr>
        <w:t>2021年基本公共卫生服务总体指标完成较好，大部分评价指标均完成目标值</w:t>
      </w:r>
      <w:r>
        <w:rPr>
          <w:rFonts w:ascii="仿宋" w:eastAsia="仿宋" w:hAnsi="仿宋" w:cs="Times New Roman" w:hint="eastAsia"/>
          <w:snapToGrid/>
          <w:kern w:val="2"/>
          <w:sz w:val="32"/>
          <w:szCs w:val="30"/>
        </w:rPr>
        <w:t>。</w:t>
      </w:r>
      <w:r>
        <w:rPr>
          <w:rFonts w:ascii="仿宋" w:eastAsia="仿宋" w:hAnsi="仿宋" w:cs="Times New Roman" w:hint="eastAsia"/>
          <w:snapToGrid/>
          <w:kern w:val="2"/>
          <w:sz w:val="32"/>
          <w:szCs w:val="30"/>
        </w:rPr>
        <w:lastRenderedPageBreak/>
        <w:t>发现的问题及原因∶ 一是</w:t>
      </w:r>
      <w:r w:rsidR="00A328FF" w:rsidRPr="00A328FF">
        <w:rPr>
          <w:rFonts w:ascii="仿宋" w:eastAsia="仿宋" w:hAnsi="仿宋" w:cs="Times New Roman" w:hint="eastAsia"/>
          <w:snapToGrid/>
          <w:kern w:val="2"/>
          <w:sz w:val="32"/>
          <w:szCs w:val="30"/>
        </w:rPr>
        <w:t>新冠疫情</w:t>
      </w:r>
      <w:r w:rsidR="00A328FF" w:rsidRPr="00A328FF">
        <w:rPr>
          <w:rFonts w:ascii="仿宋" w:eastAsia="仿宋" w:hAnsi="仿宋" w:cs="Times New Roman"/>
          <w:snapToGrid/>
          <w:kern w:val="2"/>
          <w:sz w:val="32"/>
          <w:szCs w:val="30"/>
        </w:rPr>
        <w:t>影响项目工作进展</w:t>
      </w:r>
      <w:r>
        <w:rPr>
          <w:rFonts w:ascii="仿宋" w:eastAsia="仿宋" w:hAnsi="仿宋" w:cs="Times New Roman" w:hint="eastAsia"/>
          <w:snapToGrid/>
          <w:kern w:val="2"/>
          <w:sz w:val="32"/>
          <w:szCs w:val="30"/>
        </w:rPr>
        <w:t>;二是</w:t>
      </w:r>
      <w:r w:rsidR="00A328FF" w:rsidRPr="00A328FF">
        <w:rPr>
          <w:rFonts w:ascii="仿宋" w:eastAsia="仿宋" w:hAnsi="仿宋" w:cs="Times New Roman" w:hint="eastAsia"/>
          <w:snapToGrid/>
          <w:kern w:val="2"/>
          <w:sz w:val="32"/>
          <w:szCs w:val="30"/>
        </w:rPr>
        <w:t>机构缺乏公卫专业人才；三是人员流动性太强</w:t>
      </w:r>
      <w:r>
        <w:rPr>
          <w:rFonts w:ascii="仿宋" w:eastAsia="仿宋" w:hAnsi="仿宋" w:cs="Times New Roman" w:hint="eastAsia"/>
          <w:snapToGrid/>
          <w:kern w:val="2"/>
          <w:sz w:val="32"/>
          <w:szCs w:val="30"/>
        </w:rPr>
        <w:t>。下一步改进措施∶一是</w:t>
      </w:r>
      <w:r w:rsidR="00A328FF" w:rsidRPr="00A328FF">
        <w:rPr>
          <w:rFonts w:ascii="仿宋" w:eastAsia="仿宋" w:hAnsi="仿宋" w:cs="Times New Roman" w:hint="eastAsia"/>
          <w:snapToGrid/>
          <w:kern w:val="2"/>
          <w:sz w:val="32"/>
          <w:szCs w:val="30"/>
        </w:rPr>
        <w:t>各机构</w:t>
      </w:r>
      <w:r w:rsidR="00A328FF" w:rsidRPr="00A328FF">
        <w:rPr>
          <w:rFonts w:ascii="仿宋" w:eastAsia="仿宋" w:hAnsi="仿宋" w:cs="Times New Roman"/>
          <w:snapToGrid/>
          <w:kern w:val="2"/>
          <w:sz w:val="32"/>
          <w:szCs w:val="30"/>
        </w:rPr>
        <w:t>在严格落实疫情防控工作的同时</w:t>
      </w:r>
      <w:r w:rsidR="00A328FF" w:rsidRPr="00A328FF">
        <w:rPr>
          <w:rFonts w:ascii="仿宋" w:eastAsia="仿宋" w:hAnsi="仿宋" w:cs="Times New Roman" w:hint="eastAsia"/>
          <w:snapToGrid/>
          <w:kern w:val="2"/>
          <w:sz w:val="32"/>
          <w:szCs w:val="30"/>
        </w:rPr>
        <w:t>积极</w:t>
      </w:r>
      <w:r w:rsidR="00A328FF" w:rsidRPr="00A328FF">
        <w:rPr>
          <w:rFonts w:ascii="仿宋" w:eastAsia="仿宋" w:hAnsi="仿宋" w:cs="Times New Roman"/>
          <w:snapToGrid/>
          <w:kern w:val="2"/>
          <w:sz w:val="32"/>
          <w:szCs w:val="30"/>
        </w:rPr>
        <w:t>开展基本</w:t>
      </w:r>
      <w:r w:rsidR="00A328FF" w:rsidRPr="00A328FF">
        <w:rPr>
          <w:rFonts w:ascii="仿宋" w:eastAsia="仿宋" w:hAnsi="仿宋" w:cs="Times New Roman" w:hint="eastAsia"/>
          <w:snapToGrid/>
          <w:kern w:val="2"/>
          <w:sz w:val="32"/>
          <w:szCs w:val="30"/>
        </w:rPr>
        <w:t>公卫</w:t>
      </w:r>
      <w:r w:rsidR="00A328FF" w:rsidRPr="00A328FF">
        <w:rPr>
          <w:rFonts w:ascii="仿宋" w:eastAsia="仿宋" w:hAnsi="仿宋" w:cs="Times New Roman"/>
          <w:snapToGrid/>
          <w:kern w:val="2"/>
          <w:sz w:val="32"/>
          <w:szCs w:val="30"/>
        </w:rPr>
        <w:t>服务</w:t>
      </w:r>
      <w:r>
        <w:rPr>
          <w:rFonts w:ascii="仿宋" w:eastAsia="仿宋" w:hAnsi="仿宋" w:cs="Times New Roman" w:hint="eastAsia"/>
          <w:snapToGrid/>
          <w:kern w:val="2"/>
          <w:sz w:val="32"/>
          <w:szCs w:val="30"/>
        </w:rPr>
        <w:t>;二是</w:t>
      </w:r>
      <w:r w:rsidR="00A328FF" w:rsidRPr="00A328FF">
        <w:rPr>
          <w:rFonts w:ascii="仿宋" w:eastAsia="仿宋" w:hAnsi="仿宋" w:cs="Times New Roman" w:hint="eastAsia"/>
          <w:snapToGrid/>
          <w:kern w:val="2"/>
          <w:sz w:val="32"/>
          <w:szCs w:val="30"/>
        </w:rPr>
        <w:t>稳定人员队伍</w:t>
      </w:r>
      <w:r>
        <w:rPr>
          <w:rFonts w:ascii="仿宋" w:eastAsia="仿宋" w:hAnsi="仿宋" w:cs="Times New Roman" w:hint="eastAsia"/>
          <w:snapToGrid/>
          <w:kern w:val="2"/>
          <w:sz w:val="32"/>
          <w:szCs w:val="30"/>
        </w:rPr>
        <w:t>。</w:t>
      </w:r>
      <w:r>
        <w:rPr>
          <w:rFonts w:ascii="仿宋" w:eastAsia="仿宋" w:hAnsi="仿宋" w:cs="Times New Roman" w:hint="eastAsia"/>
          <w:snapToGrid/>
          <w:kern w:val="2"/>
          <w:sz w:val="32"/>
          <w:szCs w:val="30"/>
        </w:rPr>
        <w:br/>
        <w:t xml:space="preserve">   （三）部门评价项目绩效评价结果</w:t>
      </w:r>
    </w:p>
    <w:p w:rsidR="00214442" w:rsidRDefault="00D26412" w:rsidP="00784397">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每个区级部门至少将1个部门评价报告向社会公开，报告框架可参考《项目支出绩效评价办法》（财预〔2020〕10号）中《项目支出绩效评价报告（参考提纲）》。</w:t>
      </w:r>
    </w:p>
    <w:p w:rsidR="00214442" w:rsidRDefault="00214442" w:rsidP="00784397">
      <w:pPr>
        <w:spacing w:line="560" w:lineRule="exact"/>
        <w:rPr>
          <w:rFonts w:eastAsiaTheme="minorEastAsia" w:hint="eastAsia"/>
        </w:rPr>
      </w:pPr>
    </w:p>
    <w:p w:rsidR="00BB60BC" w:rsidRDefault="00BB60BC" w:rsidP="00784397">
      <w:pPr>
        <w:spacing w:line="560" w:lineRule="exact"/>
        <w:rPr>
          <w:rFonts w:eastAsiaTheme="minorEastAsia" w:hint="eastAsia"/>
        </w:rPr>
      </w:pPr>
    </w:p>
    <w:p w:rsidR="00BB60BC" w:rsidRDefault="00BB60BC" w:rsidP="00784397">
      <w:pPr>
        <w:spacing w:line="560" w:lineRule="exact"/>
        <w:rPr>
          <w:rFonts w:eastAsiaTheme="minorEastAsia" w:hint="eastAsia"/>
        </w:rPr>
      </w:pPr>
    </w:p>
    <w:p w:rsidR="00BB60BC" w:rsidRDefault="00BB60BC" w:rsidP="00784397">
      <w:pPr>
        <w:spacing w:line="560" w:lineRule="exact"/>
        <w:rPr>
          <w:rFonts w:eastAsiaTheme="minorEastAsia" w:hint="eastAsia"/>
        </w:rPr>
      </w:pPr>
    </w:p>
    <w:p w:rsidR="00BB60BC" w:rsidRPr="00BB60BC" w:rsidRDefault="00BB60BC" w:rsidP="00784397">
      <w:pPr>
        <w:spacing w:line="560" w:lineRule="exact"/>
        <w:rPr>
          <w:rFonts w:eastAsiaTheme="minorEastAsia" w:hint="eastAsia"/>
        </w:rPr>
      </w:pPr>
    </w:p>
    <w:p w:rsidR="00A328FF" w:rsidRDefault="00A328FF" w:rsidP="00A328FF">
      <w:pPr>
        <w:spacing w:line="300" w:lineRule="exact"/>
        <w:rPr>
          <w:rFonts w:ascii="方正小标宋简体" w:eastAsia="方正小标宋简体" w:hAnsi="黑体"/>
          <w:sz w:val="44"/>
          <w:szCs w:val="44"/>
        </w:rPr>
      </w:pPr>
      <w:r>
        <w:rPr>
          <w:rFonts w:ascii="黑体" w:eastAsia="黑体" w:hAnsi="黑体" w:hint="eastAsia"/>
        </w:rPr>
        <w:t>附件2:</w:t>
      </w:r>
    </w:p>
    <w:tbl>
      <w:tblPr>
        <w:tblW w:w="0" w:type="auto"/>
        <w:jc w:val="center"/>
        <w:tblLayout w:type="fixed"/>
        <w:tblLook w:val="0000"/>
      </w:tblPr>
      <w:tblGrid>
        <w:gridCol w:w="640"/>
        <w:gridCol w:w="1064"/>
        <w:gridCol w:w="1206"/>
        <w:gridCol w:w="917"/>
        <w:gridCol w:w="1275"/>
        <w:gridCol w:w="302"/>
        <w:gridCol w:w="822"/>
        <w:gridCol w:w="861"/>
        <w:gridCol w:w="305"/>
        <w:gridCol w:w="309"/>
        <w:gridCol w:w="459"/>
        <w:gridCol w:w="435"/>
        <w:gridCol w:w="490"/>
        <w:gridCol w:w="769"/>
      </w:tblGrid>
      <w:tr w:rsidR="00A328FF" w:rsidTr="000A7D77">
        <w:trPr>
          <w:trHeight w:hRule="exact" w:val="454"/>
          <w:jc w:val="center"/>
        </w:trPr>
        <w:tc>
          <w:tcPr>
            <w:tcW w:w="9854" w:type="dxa"/>
            <w:gridSpan w:val="14"/>
            <w:tcBorders>
              <w:top w:val="nil"/>
              <w:left w:val="nil"/>
              <w:bottom w:val="nil"/>
              <w:right w:val="nil"/>
            </w:tcBorders>
            <w:vAlign w:val="center"/>
          </w:tcPr>
          <w:p w:rsidR="00A328FF" w:rsidRDefault="00A328FF" w:rsidP="000A7D77">
            <w:pPr>
              <w:spacing w:line="400" w:lineRule="exact"/>
              <w:jc w:val="center"/>
              <w:rPr>
                <w:rFonts w:ascii="方正小标宋简体" w:eastAsia="方正小标宋简体" w:hAnsi="宋体" w:cs="宋体"/>
                <w:bCs/>
                <w:sz w:val="36"/>
                <w:szCs w:val="36"/>
              </w:rPr>
            </w:pPr>
            <w:r>
              <w:rPr>
                <w:rFonts w:ascii="方正小标宋简体" w:eastAsia="方正小标宋简体" w:hAnsi="宋体" w:cs="宋体" w:hint="eastAsia"/>
                <w:bCs/>
                <w:sz w:val="36"/>
                <w:szCs w:val="36"/>
              </w:rPr>
              <w:t>项目支出绩效自评表</w:t>
            </w:r>
          </w:p>
        </w:tc>
      </w:tr>
      <w:tr w:rsidR="00A328FF" w:rsidTr="000A7D77">
        <w:trPr>
          <w:trHeight w:val="201"/>
          <w:jc w:val="center"/>
        </w:trPr>
        <w:tc>
          <w:tcPr>
            <w:tcW w:w="9854" w:type="dxa"/>
            <w:gridSpan w:val="14"/>
            <w:tcBorders>
              <w:top w:val="nil"/>
              <w:left w:val="nil"/>
              <w:bottom w:val="nil"/>
              <w:right w:val="nil"/>
            </w:tcBorders>
          </w:tcPr>
          <w:p w:rsidR="00A328FF" w:rsidRDefault="00A328FF" w:rsidP="000A7D77">
            <w:pPr>
              <w:jc w:val="center"/>
              <w:rPr>
                <w:rFonts w:ascii="黑体" w:eastAsia="黑体" w:hAnsi="宋体" w:cs="宋体"/>
              </w:rPr>
            </w:pPr>
            <w:r>
              <w:rPr>
                <w:rFonts w:ascii="黑体" w:eastAsia="黑体" w:hAnsi="宋体" w:cs="宋体" w:hint="eastAsia"/>
              </w:rPr>
              <w:t>（2</w:t>
            </w:r>
            <w:r>
              <w:rPr>
                <w:rFonts w:ascii="黑体" w:eastAsia="黑体" w:hAnsi="宋体" w:cs="宋体"/>
              </w:rPr>
              <w:t>021</w:t>
            </w:r>
            <w:r>
              <w:rPr>
                <w:rFonts w:ascii="黑体" w:eastAsia="黑体" w:hAnsi="宋体" w:cs="宋体" w:hint="eastAsia"/>
              </w:rPr>
              <w:t>年度）</w:t>
            </w:r>
          </w:p>
        </w:tc>
      </w:tr>
      <w:tr w:rsidR="00A328FF" w:rsidTr="000A7D77">
        <w:trPr>
          <w:trHeight w:hRule="exact" w:val="300"/>
          <w:jc w:val="center"/>
        </w:trPr>
        <w:tc>
          <w:tcPr>
            <w:tcW w:w="1704" w:type="dxa"/>
            <w:gridSpan w:val="2"/>
            <w:tcBorders>
              <w:top w:val="single" w:sz="4" w:space="0" w:color="auto"/>
              <w:left w:val="single" w:sz="4" w:space="0" w:color="auto"/>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项目名称</w:t>
            </w:r>
          </w:p>
        </w:tc>
        <w:tc>
          <w:tcPr>
            <w:tcW w:w="8150" w:type="dxa"/>
            <w:gridSpan w:val="12"/>
            <w:tcBorders>
              <w:top w:val="single" w:sz="4" w:space="0" w:color="auto"/>
              <w:left w:val="nil"/>
              <w:bottom w:val="single" w:sz="4" w:space="0" w:color="auto"/>
              <w:right w:val="single" w:sz="4" w:space="0" w:color="auto"/>
            </w:tcBorders>
            <w:vAlign w:val="center"/>
          </w:tcPr>
          <w:p w:rsidR="00A328FF" w:rsidRPr="001A3664" w:rsidRDefault="00A328FF" w:rsidP="000A7D77">
            <w:pPr>
              <w:spacing w:line="240" w:lineRule="exact"/>
              <w:rPr>
                <w:rFonts w:ascii="黑体" w:eastAsia="黑体" w:hAnsi="宋体" w:cs="宋体"/>
                <w:sz w:val="20"/>
                <w:lang w:val="zh-CN" w:bidi="zh-CN"/>
              </w:rPr>
            </w:pPr>
            <w:r w:rsidRPr="001A3664">
              <w:rPr>
                <w:rFonts w:ascii="黑体" w:eastAsia="黑体" w:hAnsi="宋体" w:cs="宋体" w:hint="eastAsia"/>
                <w:sz w:val="20"/>
                <w:lang w:val="zh-CN" w:bidi="zh-CN"/>
              </w:rPr>
              <w:t>基本公共卫生服务补助资金</w:t>
            </w:r>
          </w:p>
        </w:tc>
      </w:tr>
      <w:tr w:rsidR="00A328FF" w:rsidTr="000A7D77">
        <w:trPr>
          <w:trHeight w:hRule="exact" w:val="300"/>
          <w:jc w:val="center"/>
        </w:trPr>
        <w:tc>
          <w:tcPr>
            <w:tcW w:w="1704" w:type="dxa"/>
            <w:gridSpan w:val="2"/>
            <w:tcBorders>
              <w:top w:val="single" w:sz="4" w:space="0" w:color="auto"/>
              <w:left w:val="single" w:sz="4" w:space="0" w:color="auto"/>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主管部门</w:t>
            </w:r>
          </w:p>
        </w:tc>
        <w:tc>
          <w:tcPr>
            <w:tcW w:w="4522" w:type="dxa"/>
            <w:gridSpan w:val="5"/>
            <w:tcBorders>
              <w:top w:val="single" w:sz="4" w:space="0" w:color="auto"/>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青云谱区</w:t>
            </w:r>
            <w:r w:rsidRPr="001A3664">
              <w:rPr>
                <w:rFonts w:ascii="黑体" w:eastAsia="黑体" w:hAnsi="宋体" w:cs="宋体"/>
                <w:sz w:val="20"/>
                <w:lang w:val="zh-CN" w:eastAsia="en-US" w:bidi="zh-CN"/>
              </w:rPr>
              <w:t>卫健委</w:t>
            </w:r>
          </w:p>
        </w:tc>
        <w:tc>
          <w:tcPr>
            <w:tcW w:w="1166" w:type="dxa"/>
            <w:gridSpan w:val="2"/>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实施单位</w:t>
            </w:r>
          </w:p>
        </w:tc>
        <w:tc>
          <w:tcPr>
            <w:tcW w:w="2462" w:type="dxa"/>
            <w:gridSpan w:val="5"/>
            <w:tcBorders>
              <w:top w:val="single" w:sz="4" w:space="0" w:color="auto"/>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各</w:t>
            </w:r>
            <w:r w:rsidRPr="001A3664">
              <w:rPr>
                <w:rFonts w:ascii="黑体" w:eastAsia="黑体" w:hAnsi="宋体" w:cs="宋体"/>
                <w:sz w:val="20"/>
                <w:lang w:val="zh-CN" w:eastAsia="en-US" w:bidi="zh-CN"/>
              </w:rPr>
              <w:t>社区卫生服务机构</w:t>
            </w:r>
          </w:p>
        </w:tc>
      </w:tr>
      <w:tr w:rsidR="00A328FF" w:rsidTr="000A7D77">
        <w:trPr>
          <w:trHeight w:hRule="exact" w:val="495"/>
          <w:jc w:val="center"/>
        </w:trPr>
        <w:tc>
          <w:tcPr>
            <w:tcW w:w="1704" w:type="dxa"/>
            <w:gridSpan w:val="2"/>
            <w:vMerge w:val="restart"/>
            <w:tcBorders>
              <w:top w:val="single" w:sz="4" w:space="0" w:color="auto"/>
              <w:left w:val="single" w:sz="4" w:space="0" w:color="auto"/>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项目资金</w:t>
            </w:r>
            <w:r w:rsidRPr="001A3664">
              <w:rPr>
                <w:rFonts w:ascii="黑体" w:eastAsia="黑体" w:hAnsi="宋体" w:cs="宋体" w:hint="eastAsia"/>
                <w:sz w:val="20"/>
                <w:lang w:val="zh-CN" w:eastAsia="en-US" w:bidi="zh-CN"/>
              </w:rPr>
              <w:br/>
              <w:t>（万元）</w:t>
            </w:r>
          </w:p>
        </w:tc>
        <w:tc>
          <w:tcPr>
            <w:tcW w:w="2123" w:type="dxa"/>
            <w:gridSpan w:val="2"/>
            <w:tcBorders>
              <w:top w:val="single" w:sz="4" w:space="0" w:color="auto"/>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1275" w:type="dxa"/>
            <w:tcBorders>
              <w:top w:val="nil"/>
              <w:left w:val="nil"/>
              <w:bottom w:val="single" w:sz="4" w:space="0" w:color="auto"/>
              <w:right w:val="single" w:sz="4" w:space="0" w:color="auto"/>
            </w:tcBorders>
          </w:tcPr>
          <w:p w:rsidR="00A328FF" w:rsidRDefault="00A328FF" w:rsidP="000A7D77">
            <w:pPr>
              <w:pStyle w:val="TableParagraph"/>
              <w:spacing w:before="74"/>
              <w:ind w:left="44"/>
              <w:rPr>
                <w:rFonts w:ascii="黑体" w:eastAsia="黑体"/>
                <w:sz w:val="20"/>
              </w:rPr>
            </w:pPr>
            <w:r>
              <w:rPr>
                <w:rFonts w:ascii="黑体" w:eastAsia="黑体" w:hint="eastAsia"/>
                <w:sz w:val="20"/>
              </w:rPr>
              <w:t>年初预算数</w:t>
            </w:r>
          </w:p>
        </w:tc>
        <w:tc>
          <w:tcPr>
            <w:tcW w:w="1124" w:type="dxa"/>
            <w:gridSpan w:val="2"/>
            <w:tcBorders>
              <w:top w:val="nil"/>
              <w:left w:val="nil"/>
              <w:bottom w:val="single" w:sz="4" w:space="0" w:color="auto"/>
              <w:right w:val="single" w:sz="4" w:space="0" w:color="auto"/>
            </w:tcBorders>
          </w:tcPr>
          <w:p w:rsidR="00A328FF" w:rsidRDefault="00A328FF" w:rsidP="000A7D77">
            <w:pPr>
              <w:pStyle w:val="TableParagraph"/>
              <w:spacing w:before="74"/>
              <w:ind w:left="224"/>
              <w:rPr>
                <w:rFonts w:ascii="黑体" w:eastAsia="黑体"/>
                <w:sz w:val="20"/>
              </w:rPr>
            </w:pPr>
            <w:r>
              <w:rPr>
                <w:rFonts w:ascii="黑体" w:eastAsia="黑体" w:hint="eastAsia"/>
                <w:sz w:val="20"/>
              </w:rPr>
              <w:t>全年预算数</w:t>
            </w:r>
          </w:p>
        </w:tc>
        <w:tc>
          <w:tcPr>
            <w:tcW w:w="1166" w:type="dxa"/>
            <w:gridSpan w:val="2"/>
            <w:tcBorders>
              <w:top w:val="nil"/>
              <w:left w:val="nil"/>
              <w:bottom w:val="single" w:sz="4" w:space="0" w:color="auto"/>
              <w:right w:val="single" w:sz="4" w:space="0" w:color="auto"/>
            </w:tcBorders>
          </w:tcPr>
          <w:p w:rsidR="00A328FF" w:rsidRDefault="00A328FF" w:rsidP="000A7D77">
            <w:pPr>
              <w:pStyle w:val="TableParagraph"/>
              <w:spacing w:before="74"/>
              <w:ind w:left="137"/>
              <w:rPr>
                <w:rFonts w:ascii="黑体" w:eastAsia="黑体"/>
                <w:sz w:val="20"/>
              </w:rPr>
            </w:pPr>
            <w:r>
              <w:rPr>
                <w:rFonts w:ascii="黑体" w:eastAsia="黑体" w:hint="eastAsia"/>
                <w:sz w:val="20"/>
              </w:rPr>
              <w:t>全年执行数</w:t>
            </w:r>
          </w:p>
        </w:tc>
        <w:tc>
          <w:tcPr>
            <w:tcW w:w="768" w:type="dxa"/>
            <w:gridSpan w:val="2"/>
            <w:tcBorders>
              <w:top w:val="nil"/>
              <w:left w:val="nil"/>
              <w:bottom w:val="single" w:sz="4" w:space="0" w:color="auto"/>
              <w:right w:val="single" w:sz="4" w:space="0" w:color="auto"/>
            </w:tcBorders>
          </w:tcPr>
          <w:p w:rsidR="00A328FF" w:rsidRDefault="00A328FF" w:rsidP="000A7D77">
            <w:pPr>
              <w:pStyle w:val="TableParagraph"/>
              <w:spacing w:before="74"/>
              <w:ind w:left="154"/>
              <w:rPr>
                <w:rFonts w:ascii="黑体" w:eastAsia="黑体"/>
                <w:sz w:val="20"/>
              </w:rPr>
            </w:pPr>
            <w:r>
              <w:rPr>
                <w:rFonts w:ascii="黑体" w:eastAsia="黑体" w:hint="eastAsia"/>
                <w:sz w:val="20"/>
              </w:rPr>
              <w:t>分值</w:t>
            </w:r>
          </w:p>
        </w:tc>
        <w:tc>
          <w:tcPr>
            <w:tcW w:w="925" w:type="dxa"/>
            <w:gridSpan w:val="2"/>
            <w:tcBorders>
              <w:top w:val="single" w:sz="4" w:space="0" w:color="auto"/>
              <w:left w:val="nil"/>
              <w:bottom w:val="single" w:sz="4" w:space="0" w:color="auto"/>
              <w:right w:val="single" w:sz="4" w:space="0" w:color="auto"/>
            </w:tcBorders>
          </w:tcPr>
          <w:p w:rsidR="00A328FF" w:rsidRDefault="00A328FF" w:rsidP="000A7D77">
            <w:pPr>
              <w:pStyle w:val="TableParagraph"/>
              <w:spacing w:before="74"/>
              <w:ind w:left="151"/>
              <w:rPr>
                <w:rFonts w:ascii="黑体" w:eastAsia="黑体"/>
                <w:sz w:val="20"/>
              </w:rPr>
            </w:pPr>
            <w:r>
              <w:rPr>
                <w:rFonts w:ascii="黑体" w:eastAsia="黑体" w:hint="eastAsia"/>
                <w:sz w:val="20"/>
              </w:rPr>
              <w:t>执行率</w:t>
            </w:r>
          </w:p>
        </w:tc>
        <w:tc>
          <w:tcPr>
            <w:tcW w:w="769" w:type="dxa"/>
            <w:tcBorders>
              <w:top w:val="nil"/>
              <w:left w:val="nil"/>
              <w:bottom w:val="single" w:sz="4" w:space="0" w:color="auto"/>
              <w:right w:val="single" w:sz="4" w:space="0" w:color="auto"/>
            </w:tcBorders>
          </w:tcPr>
          <w:p w:rsidR="00A328FF" w:rsidRDefault="00A328FF" w:rsidP="000A7D77">
            <w:pPr>
              <w:pStyle w:val="TableParagraph"/>
              <w:spacing w:before="74"/>
              <w:ind w:left="131" w:right="122"/>
              <w:jc w:val="center"/>
              <w:rPr>
                <w:rFonts w:ascii="黑体" w:eastAsia="黑体"/>
                <w:sz w:val="20"/>
              </w:rPr>
            </w:pPr>
            <w:r>
              <w:rPr>
                <w:rFonts w:ascii="黑体" w:eastAsia="黑体" w:hint="eastAsia"/>
                <w:sz w:val="20"/>
              </w:rPr>
              <w:t>得分</w:t>
            </w:r>
          </w:p>
        </w:tc>
      </w:tr>
      <w:tr w:rsidR="00A328FF" w:rsidTr="000A7D77">
        <w:trPr>
          <w:trHeight w:hRule="exact" w:val="354"/>
          <w:jc w:val="center"/>
        </w:trPr>
        <w:tc>
          <w:tcPr>
            <w:tcW w:w="1704" w:type="dxa"/>
            <w:gridSpan w:val="2"/>
            <w:vMerge/>
            <w:tcBorders>
              <w:top w:val="single" w:sz="4" w:space="0" w:color="auto"/>
              <w:left w:val="single" w:sz="4" w:space="0" w:color="auto"/>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2123" w:type="dxa"/>
            <w:gridSpan w:val="2"/>
            <w:tcBorders>
              <w:top w:val="single" w:sz="4" w:space="0" w:color="auto"/>
              <w:left w:val="nil"/>
              <w:bottom w:val="single" w:sz="4" w:space="0" w:color="auto"/>
              <w:right w:val="single" w:sz="4" w:space="0" w:color="auto"/>
            </w:tcBorders>
            <w:vAlign w:val="center"/>
          </w:tcPr>
          <w:p w:rsidR="00A328FF" w:rsidRPr="001A3664" w:rsidRDefault="00A328FF" w:rsidP="000A7D77">
            <w:pPr>
              <w:spacing w:line="240" w:lineRule="exact"/>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年度资金总额</w:t>
            </w:r>
          </w:p>
        </w:tc>
        <w:tc>
          <w:tcPr>
            <w:tcW w:w="1275" w:type="dxa"/>
            <w:tcBorders>
              <w:top w:val="nil"/>
              <w:left w:val="nil"/>
              <w:bottom w:val="single" w:sz="4" w:space="0" w:color="auto"/>
              <w:right w:val="single" w:sz="4" w:space="0" w:color="auto"/>
            </w:tcBorders>
          </w:tcPr>
          <w:p w:rsidR="00A328FF" w:rsidRDefault="00A328FF" w:rsidP="000A7D77">
            <w:pPr>
              <w:pStyle w:val="TableParagraph"/>
              <w:rPr>
                <w:rFonts w:ascii="Times New Roman"/>
                <w:sz w:val="20"/>
              </w:rPr>
            </w:pPr>
            <w:r>
              <w:rPr>
                <w:rFonts w:ascii="Times New Roman" w:hint="eastAsia"/>
              </w:rPr>
              <w:t>390.792</w:t>
            </w:r>
          </w:p>
        </w:tc>
        <w:tc>
          <w:tcPr>
            <w:tcW w:w="1124" w:type="dxa"/>
            <w:gridSpan w:val="2"/>
            <w:tcBorders>
              <w:top w:val="nil"/>
              <w:left w:val="nil"/>
              <w:bottom w:val="single" w:sz="4" w:space="0" w:color="auto"/>
              <w:right w:val="single" w:sz="4" w:space="0" w:color="auto"/>
            </w:tcBorders>
          </w:tcPr>
          <w:p w:rsidR="00A328FF" w:rsidRDefault="00A328FF" w:rsidP="000A7D77">
            <w:pPr>
              <w:pStyle w:val="TableParagraph"/>
              <w:rPr>
                <w:rFonts w:ascii="Times New Roman"/>
              </w:rPr>
            </w:pPr>
            <w:r>
              <w:rPr>
                <w:rFonts w:ascii="Times New Roman"/>
              </w:rPr>
              <w:t>423.04</w:t>
            </w:r>
          </w:p>
        </w:tc>
        <w:tc>
          <w:tcPr>
            <w:tcW w:w="1166" w:type="dxa"/>
            <w:gridSpan w:val="2"/>
            <w:tcBorders>
              <w:top w:val="nil"/>
              <w:left w:val="nil"/>
              <w:bottom w:val="single" w:sz="4" w:space="0" w:color="auto"/>
              <w:right w:val="single" w:sz="4" w:space="0" w:color="auto"/>
            </w:tcBorders>
          </w:tcPr>
          <w:p w:rsidR="00A328FF" w:rsidRDefault="00A328FF" w:rsidP="000A7D77">
            <w:pPr>
              <w:pStyle w:val="TableParagraph"/>
              <w:rPr>
                <w:rFonts w:ascii="Times New Roman"/>
              </w:rPr>
            </w:pPr>
            <w:r>
              <w:rPr>
                <w:rFonts w:ascii="Times New Roman" w:hint="eastAsia"/>
              </w:rPr>
              <w:t>423.04</w:t>
            </w:r>
          </w:p>
        </w:tc>
        <w:tc>
          <w:tcPr>
            <w:tcW w:w="768" w:type="dxa"/>
            <w:gridSpan w:val="2"/>
            <w:tcBorders>
              <w:top w:val="nil"/>
              <w:left w:val="nil"/>
              <w:bottom w:val="single" w:sz="4" w:space="0" w:color="auto"/>
              <w:right w:val="single" w:sz="4" w:space="0" w:color="auto"/>
            </w:tcBorders>
          </w:tcPr>
          <w:p w:rsidR="00A328FF" w:rsidRDefault="00A328FF" w:rsidP="000A7D77">
            <w:pPr>
              <w:pStyle w:val="TableParagraph"/>
              <w:spacing w:before="18" w:line="253" w:lineRule="exact"/>
              <w:ind w:left="235" w:right="225"/>
              <w:jc w:val="center"/>
              <w:rPr>
                <w:rFonts w:ascii="黑体"/>
                <w:sz w:val="20"/>
              </w:rPr>
            </w:pPr>
            <w:r>
              <w:rPr>
                <w:rFonts w:ascii="黑体"/>
                <w:sz w:val="20"/>
              </w:rPr>
              <w:t>10</w:t>
            </w:r>
          </w:p>
        </w:tc>
        <w:tc>
          <w:tcPr>
            <w:tcW w:w="925" w:type="dxa"/>
            <w:gridSpan w:val="2"/>
            <w:tcBorders>
              <w:top w:val="single" w:sz="4" w:space="0" w:color="auto"/>
              <w:left w:val="nil"/>
              <w:bottom w:val="single" w:sz="4" w:space="0" w:color="auto"/>
              <w:right w:val="single" w:sz="4" w:space="0" w:color="auto"/>
            </w:tcBorders>
          </w:tcPr>
          <w:p w:rsidR="00A328FF" w:rsidRDefault="00A328FF" w:rsidP="000A7D77">
            <w:pPr>
              <w:pStyle w:val="TableParagraph"/>
              <w:rPr>
                <w:rFonts w:ascii="Times New Roman"/>
                <w:sz w:val="20"/>
              </w:rPr>
            </w:pPr>
            <w:r>
              <w:rPr>
                <w:rFonts w:ascii="Times New Roman" w:hint="eastAsia"/>
                <w:sz w:val="20"/>
              </w:rPr>
              <w:t>100</w:t>
            </w:r>
            <w:r>
              <w:rPr>
                <w:rFonts w:ascii="Times New Roman"/>
                <w:sz w:val="20"/>
              </w:rPr>
              <w:t>%</w:t>
            </w:r>
          </w:p>
        </w:tc>
        <w:tc>
          <w:tcPr>
            <w:tcW w:w="769" w:type="dxa"/>
            <w:tcBorders>
              <w:top w:val="nil"/>
              <w:left w:val="nil"/>
              <w:bottom w:val="single" w:sz="4" w:space="0" w:color="auto"/>
              <w:right w:val="single" w:sz="4" w:space="0" w:color="auto"/>
            </w:tcBorders>
          </w:tcPr>
          <w:p w:rsidR="00A328FF" w:rsidRDefault="00A328FF" w:rsidP="000A7D77">
            <w:pPr>
              <w:pStyle w:val="TableParagraph"/>
              <w:rPr>
                <w:rFonts w:ascii="Times New Roman"/>
                <w:sz w:val="20"/>
              </w:rPr>
            </w:pPr>
            <w:r>
              <w:rPr>
                <w:rFonts w:ascii="Times New Roman" w:hint="eastAsia"/>
                <w:sz w:val="20"/>
              </w:rPr>
              <w:t>10</w:t>
            </w:r>
          </w:p>
        </w:tc>
      </w:tr>
      <w:tr w:rsidR="00A328FF" w:rsidTr="000A7D77">
        <w:trPr>
          <w:trHeight w:hRule="exact" w:val="358"/>
          <w:jc w:val="center"/>
        </w:trPr>
        <w:tc>
          <w:tcPr>
            <w:tcW w:w="1704" w:type="dxa"/>
            <w:gridSpan w:val="2"/>
            <w:vMerge/>
            <w:tcBorders>
              <w:top w:val="single" w:sz="4" w:space="0" w:color="auto"/>
              <w:left w:val="single" w:sz="4" w:space="0" w:color="auto"/>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2123" w:type="dxa"/>
            <w:gridSpan w:val="2"/>
            <w:tcBorders>
              <w:top w:val="single" w:sz="4" w:space="0" w:color="auto"/>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其中：当年财政拨款</w:t>
            </w:r>
          </w:p>
        </w:tc>
        <w:tc>
          <w:tcPr>
            <w:tcW w:w="1275" w:type="dxa"/>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1124" w:type="dxa"/>
            <w:gridSpan w:val="2"/>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1166" w:type="dxa"/>
            <w:gridSpan w:val="2"/>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768" w:type="dxa"/>
            <w:gridSpan w:val="2"/>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w:t>
            </w:r>
          </w:p>
        </w:tc>
        <w:tc>
          <w:tcPr>
            <w:tcW w:w="925" w:type="dxa"/>
            <w:gridSpan w:val="2"/>
            <w:tcBorders>
              <w:top w:val="single" w:sz="4" w:space="0" w:color="auto"/>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769" w:type="dxa"/>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w:t>
            </w:r>
          </w:p>
        </w:tc>
      </w:tr>
      <w:tr w:rsidR="00A328FF" w:rsidTr="000A7D77">
        <w:trPr>
          <w:trHeight w:hRule="exact" w:val="347"/>
          <w:jc w:val="center"/>
        </w:trPr>
        <w:tc>
          <w:tcPr>
            <w:tcW w:w="1704" w:type="dxa"/>
            <w:gridSpan w:val="2"/>
            <w:vMerge/>
            <w:tcBorders>
              <w:top w:val="single" w:sz="4" w:space="0" w:color="auto"/>
              <w:left w:val="single" w:sz="4" w:space="0" w:color="auto"/>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2123" w:type="dxa"/>
            <w:gridSpan w:val="2"/>
            <w:tcBorders>
              <w:top w:val="single" w:sz="4" w:space="0" w:color="auto"/>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 xml:space="preserve">      上年结转资金</w:t>
            </w:r>
          </w:p>
        </w:tc>
        <w:tc>
          <w:tcPr>
            <w:tcW w:w="1275" w:type="dxa"/>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1124" w:type="dxa"/>
            <w:gridSpan w:val="2"/>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1166" w:type="dxa"/>
            <w:gridSpan w:val="2"/>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768" w:type="dxa"/>
            <w:gridSpan w:val="2"/>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w:t>
            </w:r>
          </w:p>
        </w:tc>
        <w:tc>
          <w:tcPr>
            <w:tcW w:w="925" w:type="dxa"/>
            <w:gridSpan w:val="2"/>
            <w:tcBorders>
              <w:top w:val="single" w:sz="4" w:space="0" w:color="auto"/>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769" w:type="dxa"/>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w:t>
            </w:r>
          </w:p>
        </w:tc>
      </w:tr>
      <w:tr w:rsidR="00A328FF" w:rsidTr="000A7D77">
        <w:trPr>
          <w:trHeight w:hRule="exact" w:val="355"/>
          <w:jc w:val="center"/>
        </w:trPr>
        <w:tc>
          <w:tcPr>
            <w:tcW w:w="1704" w:type="dxa"/>
            <w:gridSpan w:val="2"/>
            <w:vMerge/>
            <w:tcBorders>
              <w:top w:val="single" w:sz="4" w:space="0" w:color="auto"/>
              <w:left w:val="single" w:sz="4" w:space="0" w:color="auto"/>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2123" w:type="dxa"/>
            <w:gridSpan w:val="2"/>
            <w:tcBorders>
              <w:top w:val="single" w:sz="4" w:space="0" w:color="auto"/>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 xml:space="preserve">  其他资金</w:t>
            </w:r>
          </w:p>
        </w:tc>
        <w:tc>
          <w:tcPr>
            <w:tcW w:w="1275" w:type="dxa"/>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1124" w:type="dxa"/>
            <w:gridSpan w:val="2"/>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1166" w:type="dxa"/>
            <w:gridSpan w:val="2"/>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768" w:type="dxa"/>
            <w:gridSpan w:val="2"/>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w:t>
            </w:r>
          </w:p>
        </w:tc>
        <w:tc>
          <w:tcPr>
            <w:tcW w:w="925" w:type="dxa"/>
            <w:gridSpan w:val="2"/>
            <w:tcBorders>
              <w:top w:val="single" w:sz="4" w:space="0" w:color="auto"/>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769" w:type="dxa"/>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w:t>
            </w:r>
          </w:p>
        </w:tc>
      </w:tr>
      <w:tr w:rsidR="00A328FF" w:rsidTr="000A7D77">
        <w:trPr>
          <w:trHeight w:hRule="exact" w:val="300"/>
          <w:jc w:val="center"/>
        </w:trPr>
        <w:tc>
          <w:tcPr>
            <w:tcW w:w="640" w:type="dxa"/>
            <w:vMerge w:val="restart"/>
            <w:tcBorders>
              <w:top w:val="nil"/>
              <w:left w:val="single" w:sz="4" w:space="0" w:color="auto"/>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年度总体目标</w:t>
            </w:r>
          </w:p>
        </w:tc>
        <w:tc>
          <w:tcPr>
            <w:tcW w:w="5586" w:type="dxa"/>
            <w:gridSpan w:val="6"/>
            <w:tcBorders>
              <w:top w:val="single" w:sz="4" w:space="0" w:color="auto"/>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预期目标</w:t>
            </w:r>
          </w:p>
        </w:tc>
        <w:tc>
          <w:tcPr>
            <w:tcW w:w="3628" w:type="dxa"/>
            <w:gridSpan w:val="7"/>
            <w:tcBorders>
              <w:top w:val="single" w:sz="4" w:space="0" w:color="auto"/>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实际完成情况</w:t>
            </w:r>
          </w:p>
        </w:tc>
      </w:tr>
      <w:tr w:rsidR="00A328FF" w:rsidTr="000A7D77">
        <w:trPr>
          <w:trHeight w:hRule="exact" w:val="2278"/>
          <w:jc w:val="center"/>
        </w:trPr>
        <w:tc>
          <w:tcPr>
            <w:tcW w:w="640"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4462" w:type="dxa"/>
            <w:gridSpan w:val="4"/>
            <w:tcBorders>
              <w:top w:val="single" w:sz="4" w:space="0" w:color="auto"/>
              <w:left w:val="nil"/>
              <w:bottom w:val="single" w:sz="4" w:space="0" w:color="auto"/>
              <w:right w:val="single" w:sz="4" w:space="0" w:color="auto"/>
            </w:tcBorders>
          </w:tcPr>
          <w:p w:rsidR="00A328FF" w:rsidRDefault="00A328FF" w:rsidP="000A7D77">
            <w:pPr>
              <w:adjustRightInd/>
              <w:snapToGrid/>
              <w:spacing w:line="240" w:lineRule="exact"/>
              <w:jc w:val="both"/>
              <w:rPr>
                <w:rFonts w:ascii="仿宋_GB2312" w:eastAsia="仿宋_GB2312" w:hAnsi="仿宋_GB2312" w:cs="仿宋_GB2312"/>
              </w:rPr>
            </w:pPr>
            <w:r>
              <w:rPr>
                <w:rFonts w:ascii="仿宋_GB2312" w:eastAsia="仿宋_GB2312" w:hAnsi="仿宋_GB2312" w:cs="仿宋_GB2312" w:hint="eastAsia"/>
              </w:rPr>
              <w:t>居民规范化</w:t>
            </w:r>
            <w:r>
              <w:rPr>
                <w:rFonts w:ascii="仿宋_GB2312" w:eastAsia="仿宋_GB2312" w:hAnsi="仿宋_GB2312" w:cs="仿宋_GB2312"/>
              </w:rPr>
              <w:t>电子</w:t>
            </w:r>
            <w:r>
              <w:rPr>
                <w:rFonts w:ascii="仿宋_GB2312" w:eastAsia="仿宋_GB2312" w:hAnsi="仿宋_GB2312" w:cs="仿宋_GB2312" w:hint="eastAsia"/>
              </w:rPr>
              <w:t>健康档案覆盖率≥60%；适龄儿童国家免疫规划疫苗接种率≥90%；儿童健康管理率≥85%；65岁以上老年人规范健康管理率≥60%；管理高血压患者人数保持在1.90万人以上，管理糖尿病患者人数达到0.51万人以上，规范管理率分别≥60%；报告发现的结核病患者管理率≥90%；中医药健康管理服务目标人群覆盖率≥65%；稳步扩大</w:t>
            </w:r>
            <w:r>
              <w:rPr>
                <w:rFonts w:ascii="仿宋_GB2312" w:eastAsia="仿宋_GB2312" w:hAnsi="仿宋_GB2312" w:cs="仿宋_GB2312"/>
              </w:rPr>
              <w:t>家庭医生签约服务覆盖面</w:t>
            </w:r>
            <w:r>
              <w:rPr>
                <w:rFonts w:ascii="仿宋_GB2312" w:eastAsia="仿宋_GB2312" w:hAnsi="仿宋_GB2312" w:cs="仿宋_GB2312" w:hint="eastAsia"/>
              </w:rPr>
              <w:t>。</w:t>
            </w:r>
          </w:p>
          <w:p w:rsidR="00A328FF" w:rsidRDefault="00A328FF" w:rsidP="000A7D77">
            <w:pPr>
              <w:spacing w:line="240" w:lineRule="exact"/>
              <w:jc w:val="center"/>
              <w:rPr>
                <w:rFonts w:ascii="黑体" w:eastAsia="黑体" w:hAnsi="宋体" w:cs="宋体"/>
              </w:rPr>
            </w:pPr>
          </w:p>
        </w:tc>
        <w:tc>
          <w:tcPr>
            <w:tcW w:w="4752" w:type="dxa"/>
            <w:gridSpan w:val="9"/>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both"/>
              <w:rPr>
                <w:rFonts w:ascii="黑体" w:eastAsia="黑体" w:hAnsi="宋体" w:cs="宋体"/>
              </w:rPr>
            </w:pPr>
            <w:r>
              <w:rPr>
                <w:rFonts w:ascii="仿宋_GB2312" w:eastAsia="仿宋_GB2312" w:hAnsi="仿宋_GB2312" w:cs="仿宋_GB2312" w:hint="eastAsia"/>
              </w:rPr>
              <w:t>居民规范化</w:t>
            </w:r>
            <w:r>
              <w:rPr>
                <w:rFonts w:ascii="仿宋_GB2312" w:eastAsia="仿宋_GB2312" w:hAnsi="仿宋_GB2312" w:cs="仿宋_GB2312"/>
              </w:rPr>
              <w:t>电子</w:t>
            </w:r>
            <w:r>
              <w:rPr>
                <w:rFonts w:ascii="仿宋_GB2312" w:eastAsia="仿宋_GB2312" w:hAnsi="仿宋_GB2312" w:cs="仿宋_GB2312" w:hint="eastAsia"/>
              </w:rPr>
              <w:t>健康档案覆盖率</w:t>
            </w:r>
            <w:r>
              <w:rPr>
                <w:rFonts w:ascii="仿宋_GB2312" w:eastAsia="仿宋_GB2312" w:hAnsi="仿宋_GB2312" w:cs="仿宋_GB2312"/>
              </w:rPr>
              <w:t>68.5</w:t>
            </w:r>
            <w:r>
              <w:rPr>
                <w:rFonts w:ascii="仿宋_GB2312" w:eastAsia="仿宋_GB2312" w:hAnsi="仿宋_GB2312" w:cs="仿宋_GB2312" w:hint="eastAsia"/>
              </w:rPr>
              <w:t>%；适龄儿童国家免疫规划疫苗接种率≥90%；儿童健康管理率90.31%；65岁以上老年人规范健康管理率54.31%；管理高血压患者人数1.</w:t>
            </w:r>
            <w:r>
              <w:rPr>
                <w:rFonts w:ascii="仿宋_GB2312" w:eastAsia="仿宋_GB2312" w:hAnsi="仿宋_GB2312" w:cs="仿宋_GB2312"/>
              </w:rPr>
              <w:t>9272</w:t>
            </w:r>
            <w:r>
              <w:rPr>
                <w:rFonts w:ascii="仿宋_GB2312" w:eastAsia="仿宋_GB2312" w:hAnsi="仿宋_GB2312" w:cs="仿宋_GB2312" w:hint="eastAsia"/>
              </w:rPr>
              <w:t>万人，管理糖尿病患者人数0.</w:t>
            </w:r>
            <w:r>
              <w:rPr>
                <w:rFonts w:ascii="仿宋_GB2312" w:eastAsia="仿宋_GB2312" w:hAnsi="仿宋_GB2312" w:cs="仿宋_GB2312"/>
              </w:rPr>
              <w:t>6542</w:t>
            </w:r>
            <w:r>
              <w:rPr>
                <w:rFonts w:ascii="仿宋_GB2312" w:eastAsia="仿宋_GB2312" w:hAnsi="仿宋_GB2312" w:cs="仿宋_GB2312" w:hint="eastAsia"/>
              </w:rPr>
              <w:t>万人，规范管理率均达到60%以上；报告发现的结核病患者管理率100%；老年人和0-36个月儿童中医药健康管理覆盖率均＞5</w:t>
            </w:r>
            <w:r>
              <w:rPr>
                <w:rFonts w:ascii="仿宋_GB2312" w:eastAsia="仿宋_GB2312" w:hAnsi="仿宋_GB2312" w:cs="仿宋_GB2312"/>
              </w:rPr>
              <w:t>4</w:t>
            </w:r>
            <w:r>
              <w:rPr>
                <w:rFonts w:ascii="仿宋_GB2312" w:eastAsia="仿宋_GB2312" w:hAnsi="仿宋_GB2312" w:cs="仿宋_GB2312" w:hint="eastAsia"/>
              </w:rPr>
              <w:t>%；家庭医生签约服务覆盖率稳步</w:t>
            </w:r>
            <w:r>
              <w:rPr>
                <w:rFonts w:ascii="仿宋_GB2312" w:eastAsia="仿宋_GB2312" w:hAnsi="仿宋_GB2312" w:cs="仿宋_GB2312"/>
              </w:rPr>
              <w:t>提升。</w:t>
            </w:r>
          </w:p>
        </w:tc>
      </w:tr>
      <w:tr w:rsidR="00A328FF" w:rsidTr="000A7D77">
        <w:trPr>
          <w:trHeight w:hRule="exact" w:val="724"/>
          <w:jc w:val="center"/>
        </w:trPr>
        <w:tc>
          <w:tcPr>
            <w:tcW w:w="640" w:type="dxa"/>
            <w:vMerge w:val="restart"/>
            <w:tcBorders>
              <w:top w:val="nil"/>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lastRenderedPageBreak/>
              <w:t>绩</w:t>
            </w:r>
            <w:r>
              <w:rPr>
                <w:rFonts w:ascii="黑体" w:eastAsia="黑体" w:hAnsi="宋体" w:cs="宋体" w:hint="eastAsia"/>
              </w:rPr>
              <w:br/>
              <w:t>效</w:t>
            </w:r>
            <w:r>
              <w:rPr>
                <w:rFonts w:ascii="黑体" w:eastAsia="黑体" w:hAnsi="宋体" w:cs="宋体" w:hint="eastAsia"/>
              </w:rPr>
              <w:br/>
              <w:t>指</w:t>
            </w:r>
            <w:r>
              <w:rPr>
                <w:rFonts w:ascii="黑体" w:eastAsia="黑体" w:hAnsi="宋体" w:cs="宋体" w:hint="eastAsia"/>
              </w:rPr>
              <w:br/>
              <w:t>标</w:t>
            </w:r>
          </w:p>
        </w:tc>
        <w:tc>
          <w:tcPr>
            <w:tcW w:w="1064"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一级指标</w:t>
            </w:r>
          </w:p>
        </w:tc>
        <w:tc>
          <w:tcPr>
            <w:tcW w:w="1206"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二级指标</w:t>
            </w: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三级指标</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年度</w:t>
            </w:r>
          </w:p>
          <w:p w:rsidR="00A328FF" w:rsidRDefault="00A328FF" w:rsidP="000A7D77">
            <w:pPr>
              <w:spacing w:line="240" w:lineRule="exact"/>
              <w:jc w:val="center"/>
              <w:rPr>
                <w:rFonts w:ascii="黑体" w:eastAsia="黑体" w:hAnsi="宋体" w:cs="宋体"/>
              </w:rPr>
            </w:pPr>
            <w:r>
              <w:rPr>
                <w:rFonts w:ascii="黑体" w:eastAsia="黑体" w:hAnsi="宋体" w:cs="宋体" w:hint="eastAsia"/>
              </w:rPr>
              <w:t>指标值</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实际</w:t>
            </w:r>
          </w:p>
          <w:p w:rsidR="00A328FF" w:rsidRDefault="00A328FF" w:rsidP="000A7D77">
            <w:pPr>
              <w:spacing w:line="240" w:lineRule="exact"/>
              <w:jc w:val="center"/>
              <w:rPr>
                <w:rFonts w:ascii="黑体" w:eastAsia="黑体" w:hAnsi="宋体" w:cs="宋体"/>
              </w:rPr>
            </w:pPr>
            <w:r>
              <w:rPr>
                <w:rFonts w:ascii="黑体" w:eastAsia="黑体" w:hAnsi="宋体" w:cs="宋体" w:hint="eastAsia"/>
              </w:rPr>
              <w:t>完成值</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分值</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得分</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偏差原因分析及改进措施</w:t>
            </w:r>
          </w:p>
        </w:tc>
      </w:tr>
      <w:tr w:rsidR="00A328FF" w:rsidTr="000A7D77">
        <w:trPr>
          <w:trHeight w:hRule="exact" w:val="546"/>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val="restart"/>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产出指标</w:t>
            </w:r>
          </w:p>
          <w:p w:rsidR="00A328FF" w:rsidRDefault="00A328FF" w:rsidP="000A7D77">
            <w:pPr>
              <w:spacing w:line="240" w:lineRule="exact"/>
              <w:jc w:val="center"/>
              <w:rPr>
                <w:rFonts w:ascii="黑体" w:eastAsia="黑体" w:hAnsi="宋体" w:cs="宋体"/>
              </w:rPr>
            </w:pPr>
            <w:r>
              <w:rPr>
                <w:rFonts w:ascii="黑体" w:eastAsia="黑体" w:hAnsi="宋体" w:cs="宋体" w:hint="eastAsia"/>
              </w:rPr>
              <w:t>（65分）</w:t>
            </w:r>
          </w:p>
        </w:tc>
        <w:tc>
          <w:tcPr>
            <w:tcW w:w="1206" w:type="dxa"/>
            <w:vMerge w:val="restart"/>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数量指标</w:t>
            </w:r>
          </w:p>
          <w:p w:rsidR="00A328FF" w:rsidRDefault="00A328FF" w:rsidP="000A7D77">
            <w:pPr>
              <w:spacing w:line="240" w:lineRule="exact"/>
              <w:jc w:val="center"/>
              <w:rPr>
                <w:rFonts w:ascii="黑体" w:eastAsia="黑体" w:hAnsi="宋体" w:cs="宋体"/>
              </w:rPr>
            </w:pPr>
            <w:r>
              <w:rPr>
                <w:rFonts w:ascii="黑体" w:eastAsia="黑体" w:hAnsi="宋体" w:cs="宋体" w:hint="eastAsia"/>
              </w:rPr>
              <w:t>（40分）</w:t>
            </w: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指标1：</w:t>
            </w:r>
            <w:r>
              <w:rPr>
                <w:rFonts w:ascii="仿宋_GB2312" w:eastAsia="仿宋_GB2312" w:hAnsi="仿宋_GB2312" w:cs="仿宋_GB2312" w:hint="eastAsia"/>
              </w:rPr>
              <w:t>居民规范化</w:t>
            </w:r>
            <w:r>
              <w:rPr>
                <w:rFonts w:ascii="仿宋_GB2312" w:eastAsia="仿宋_GB2312" w:hAnsi="仿宋_GB2312" w:cs="仿宋_GB2312"/>
              </w:rPr>
              <w:t>电子</w:t>
            </w:r>
            <w:r>
              <w:rPr>
                <w:rFonts w:ascii="仿宋_GB2312" w:eastAsia="仿宋_GB2312" w:hAnsi="仿宋_GB2312" w:cs="仿宋_GB2312" w:hint="eastAsia"/>
              </w:rPr>
              <w:t>健康</w:t>
            </w:r>
            <w:r>
              <w:rPr>
                <w:rFonts w:ascii="仿宋_GB2312" w:eastAsia="仿宋_GB2312" w:hAnsi="仿宋_GB2312" w:cs="仿宋_GB2312"/>
              </w:rPr>
              <w:t>档案覆盖率</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≥60%</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68.5%</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477"/>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指标2：</w:t>
            </w:r>
            <w:r>
              <w:rPr>
                <w:rFonts w:ascii="仿宋_GB2312" w:eastAsia="仿宋_GB2312" w:hAnsi="仿宋_GB2312" w:cs="仿宋_GB2312" w:hint="eastAsia"/>
              </w:rPr>
              <w:t>适龄儿童国家免疫规划疫苗接种率</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≥90%</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≥90%</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491"/>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指标3：</w:t>
            </w:r>
            <w:r>
              <w:rPr>
                <w:rFonts w:ascii="仿宋_GB2312" w:eastAsia="仿宋_GB2312" w:hAnsi="仿宋_GB2312" w:cs="仿宋_GB2312" w:hint="eastAsia"/>
              </w:rPr>
              <w:t>0-6岁儿童健康管理率</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≥85%</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rPr>
              <w:t>90.3</w:t>
            </w:r>
            <w:r>
              <w:rPr>
                <w:rFonts w:ascii="仿宋_GB2312" w:eastAsia="仿宋_GB2312" w:hAnsi="仿宋_GB2312" w:cs="仿宋_GB2312" w:hint="eastAsia"/>
              </w:rPr>
              <w:t>%</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463"/>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w:t>
            </w:r>
            <w:r>
              <w:rPr>
                <w:rFonts w:ascii="黑体" w:eastAsia="黑体" w:hAnsi="宋体" w:cs="宋体"/>
              </w:rPr>
              <w:t>4</w:t>
            </w:r>
            <w:r>
              <w:rPr>
                <w:rFonts w:ascii="黑体" w:eastAsia="黑体" w:hAnsi="宋体" w:cs="宋体" w:hint="eastAsia"/>
              </w:rPr>
              <w:t>：</w:t>
            </w:r>
            <w:r>
              <w:rPr>
                <w:rFonts w:ascii="仿宋_GB2312" w:eastAsia="仿宋_GB2312" w:hAnsi="仿宋_GB2312" w:cs="仿宋_GB2312" w:hint="eastAsia"/>
              </w:rPr>
              <w:t>老年人规范健康管理率</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≥6</w:t>
            </w:r>
            <w:r>
              <w:rPr>
                <w:rFonts w:ascii="仿宋_GB2312" w:eastAsia="仿宋_GB2312" w:hAnsi="仿宋_GB2312" w:cs="仿宋_GB2312"/>
              </w:rPr>
              <w:t>0</w:t>
            </w:r>
            <w:r>
              <w:rPr>
                <w:rFonts w:ascii="仿宋_GB2312" w:eastAsia="仿宋_GB2312" w:hAnsi="仿宋_GB2312" w:cs="仿宋_GB2312" w:hint="eastAsia"/>
              </w:rPr>
              <w:t>%</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仿宋_GB2312" w:eastAsia="仿宋_GB2312" w:hAnsi="仿宋_GB2312" w:cs="仿宋_GB2312"/>
              </w:rPr>
            </w:pPr>
            <w:r>
              <w:rPr>
                <w:rFonts w:ascii="仿宋_GB2312" w:eastAsia="仿宋_GB2312" w:hAnsi="仿宋_GB2312" w:cs="仿宋_GB2312"/>
              </w:rPr>
              <w:t>54.31</w:t>
            </w:r>
            <w:r>
              <w:rPr>
                <w:rFonts w:ascii="仿宋_GB2312" w:eastAsia="仿宋_GB2312" w:hAnsi="仿宋_GB2312" w:cs="仿宋_GB2312" w:hint="eastAsia"/>
              </w:rPr>
              <w:t>%</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rPr>
              <w:t>4.53</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491"/>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指标5：</w:t>
            </w:r>
            <w:r>
              <w:rPr>
                <w:rFonts w:ascii="仿宋_GB2312" w:eastAsia="仿宋_GB2312" w:hAnsi="仿宋_GB2312" w:cs="仿宋_GB2312" w:hint="eastAsia"/>
              </w:rPr>
              <w:t>高血压患者管理人数</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1.90万人</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1.</w:t>
            </w:r>
            <w:r>
              <w:rPr>
                <w:rFonts w:ascii="仿宋_GB2312" w:eastAsia="仿宋_GB2312" w:hAnsi="仿宋_GB2312" w:cs="仿宋_GB2312"/>
              </w:rPr>
              <w:t>9272</w:t>
            </w:r>
            <w:r>
              <w:rPr>
                <w:rFonts w:ascii="仿宋_GB2312" w:eastAsia="仿宋_GB2312" w:hAnsi="仿宋_GB2312" w:cs="仿宋_GB2312" w:hint="eastAsia"/>
              </w:rPr>
              <w:t>万人</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rPr>
              <w:t>5</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464"/>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指标6：</w:t>
            </w:r>
            <w:r>
              <w:rPr>
                <w:rFonts w:ascii="仿宋_GB2312" w:eastAsia="仿宋_GB2312" w:hAnsi="仿宋_GB2312" w:cs="仿宋_GB2312" w:hint="eastAsia"/>
              </w:rPr>
              <w:t>2型糖尿病患者管理人数</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0.51万人</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rPr>
              <w:t>0.6542</w:t>
            </w:r>
            <w:r>
              <w:rPr>
                <w:rFonts w:ascii="仿宋_GB2312" w:eastAsia="仿宋_GB2312" w:hAnsi="仿宋_GB2312" w:cs="仿宋_GB2312" w:hint="eastAsia"/>
              </w:rPr>
              <w:t>万人</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546"/>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指标7：</w:t>
            </w:r>
            <w:r>
              <w:rPr>
                <w:rFonts w:ascii="仿宋_GB2312" w:eastAsia="仿宋_GB2312" w:hAnsi="仿宋_GB2312" w:cs="仿宋_GB2312" w:hint="eastAsia"/>
              </w:rPr>
              <w:t>老年人中医药健康管理率</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w:t>
            </w:r>
            <w:r>
              <w:rPr>
                <w:rFonts w:ascii="仿宋_GB2312" w:eastAsia="仿宋_GB2312" w:hAnsi="仿宋_GB2312" w:cs="仿宋_GB2312"/>
              </w:rPr>
              <w:t>65</w:t>
            </w:r>
            <w:r>
              <w:rPr>
                <w:rFonts w:ascii="仿宋_GB2312" w:eastAsia="仿宋_GB2312" w:hAnsi="仿宋_GB2312" w:cs="仿宋_GB2312" w:hint="eastAsia"/>
              </w:rPr>
              <w:t>%</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rPr>
              <w:t>54.27</w:t>
            </w:r>
            <w:r>
              <w:rPr>
                <w:rFonts w:ascii="黑体" w:eastAsia="黑体" w:hAnsi="宋体" w:cs="宋体" w:hint="eastAsia"/>
              </w:rPr>
              <w:t>%</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仿宋_GB2312" w:eastAsia="仿宋_GB2312" w:hAnsi="仿宋_GB2312" w:cs="仿宋_GB2312"/>
              </w:rPr>
            </w:pPr>
            <w:r>
              <w:rPr>
                <w:rFonts w:ascii="仿宋_GB2312" w:eastAsia="仿宋_GB2312" w:hAnsi="仿宋_GB2312" w:cs="仿宋_GB2312" w:hint="eastAsia"/>
              </w:rPr>
              <w:t>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rPr>
              <w:t>4.17</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505"/>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指标8：</w:t>
            </w:r>
            <w:r>
              <w:rPr>
                <w:rFonts w:ascii="仿宋_GB2312" w:eastAsia="仿宋_GB2312" w:hAnsi="仿宋_GB2312" w:cs="仿宋_GB2312" w:hint="eastAsia"/>
              </w:rPr>
              <w:t>儿童中医药健康管理率</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≥65%</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rPr>
              <w:t>54.76</w:t>
            </w:r>
            <w:r>
              <w:rPr>
                <w:rFonts w:ascii="黑体" w:eastAsia="黑体" w:hAnsi="宋体" w:cs="宋体" w:hint="eastAsia"/>
              </w:rPr>
              <w:t>%</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rPr>
              <w:t>4.21</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519"/>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vMerge w:val="restart"/>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质量指标</w:t>
            </w:r>
          </w:p>
          <w:p w:rsidR="00A328FF" w:rsidRDefault="00A328FF" w:rsidP="000A7D77">
            <w:pPr>
              <w:spacing w:line="240" w:lineRule="exact"/>
              <w:jc w:val="center"/>
              <w:rPr>
                <w:rFonts w:ascii="黑体" w:eastAsia="黑体" w:hAnsi="宋体" w:cs="宋体"/>
              </w:rPr>
            </w:pPr>
            <w:r>
              <w:rPr>
                <w:rFonts w:ascii="黑体" w:eastAsia="黑体" w:hAnsi="宋体" w:cs="宋体" w:hint="eastAsia"/>
              </w:rPr>
              <w:t>（25分）</w:t>
            </w: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指标1：</w:t>
            </w:r>
            <w:r>
              <w:rPr>
                <w:rFonts w:ascii="仿宋_GB2312" w:eastAsia="仿宋_GB2312" w:hAnsi="仿宋_GB2312" w:cs="仿宋_GB2312" w:hint="eastAsia"/>
              </w:rPr>
              <w:t>高血压患者规范管理率</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≥60%</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rPr>
              <w:t>72.44</w:t>
            </w:r>
            <w:r>
              <w:rPr>
                <w:rFonts w:ascii="黑体" w:eastAsia="黑体" w:hAnsi="宋体" w:cs="宋体" w:hint="eastAsia"/>
              </w:rPr>
              <w:t>%</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477"/>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指标2：</w:t>
            </w:r>
            <w:r>
              <w:rPr>
                <w:rFonts w:ascii="仿宋_GB2312" w:eastAsia="仿宋_GB2312" w:hAnsi="仿宋_GB2312" w:cs="仿宋_GB2312" w:hint="eastAsia"/>
              </w:rPr>
              <w:t>2型糖尿病患者规范管理率</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≥60%</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rPr>
              <w:t>74.3</w:t>
            </w:r>
            <w:r>
              <w:rPr>
                <w:rFonts w:ascii="黑体" w:eastAsia="黑体" w:hAnsi="宋体" w:cs="宋体" w:hint="eastAsia"/>
              </w:rPr>
              <w:t>%</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559"/>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指标3：</w:t>
            </w:r>
            <w:r>
              <w:rPr>
                <w:rFonts w:ascii="仿宋_GB2312" w:eastAsia="仿宋_GB2312" w:hAnsi="仿宋_GB2312" w:cs="仿宋_GB2312" w:hint="eastAsia"/>
              </w:rPr>
              <w:t>严重精神障碍患者健康管理率</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≥75%</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8</w:t>
            </w:r>
            <w:r>
              <w:rPr>
                <w:rFonts w:ascii="黑体" w:eastAsia="黑体" w:hAnsi="宋体" w:cs="宋体"/>
              </w:rPr>
              <w:t>5.22</w:t>
            </w:r>
            <w:r>
              <w:rPr>
                <w:rFonts w:ascii="黑体" w:eastAsia="黑体" w:hAnsi="宋体" w:cs="宋体" w:hint="eastAsia"/>
              </w:rPr>
              <w:t>%</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491"/>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指标4：</w:t>
            </w:r>
            <w:r>
              <w:rPr>
                <w:rFonts w:ascii="仿宋_GB2312" w:eastAsia="仿宋_GB2312" w:hAnsi="仿宋_GB2312" w:cs="仿宋_GB2312" w:hint="eastAsia"/>
              </w:rPr>
              <w:t>肺结核患者管理率</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≥90%</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100%</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仿宋_GB2312" w:eastAsia="仿宋_GB2312" w:hAnsi="仿宋_GB2312" w:cs="仿宋_GB2312"/>
              </w:rPr>
            </w:pPr>
            <w:r>
              <w:rPr>
                <w:rFonts w:ascii="仿宋_GB2312" w:eastAsia="仿宋_GB2312" w:hAnsi="仿宋_GB2312" w:cs="仿宋_GB2312" w:hint="eastAsia"/>
              </w:rPr>
              <w:t>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369"/>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指标5：</w:t>
            </w:r>
            <w:r>
              <w:rPr>
                <w:rFonts w:ascii="仿宋_GB2312" w:eastAsia="仿宋_GB2312" w:hAnsi="仿宋_GB2312" w:cs="仿宋_GB2312" w:hint="eastAsia"/>
              </w:rPr>
              <w:t>传染病报告率</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≥9</w:t>
            </w:r>
            <w:r>
              <w:rPr>
                <w:rFonts w:ascii="仿宋_GB2312" w:eastAsia="仿宋_GB2312" w:hAnsi="仿宋_GB2312" w:cs="仿宋_GB2312"/>
              </w:rPr>
              <w:t>5</w:t>
            </w:r>
            <w:r>
              <w:rPr>
                <w:rFonts w:ascii="仿宋_GB2312" w:eastAsia="仿宋_GB2312" w:hAnsi="仿宋_GB2312" w:cs="仿宋_GB2312" w:hint="eastAsia"/>
              </w:rPr>
              <w:t>%</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100%</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518"/>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val="restart"/>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效益指标</w:t>
            </w:r>
          </w:p>
          <w:p w:rsidR="00A328FF" w:rsidRDefault="00A328FF" w:rsidP="000A7D77">
            <w:pPr>
              <w:spacing w:line="240" w:lineRule="exact"/>
              <w:jc w:val="center"/>
              <w:rPr>
                <w:rFonts w:ascii="黑体" w:eastAsia="黑体" w:hAnsi="宋体" w:cs="宋体"/>
              </w:rPr>
            </w:pPr>
            <w:r>
              <w:rPr>
                <w:rFonts w:ascii="黑体" w:eastAsia="黑体" w:hAnsi="宋体" w:cs="宋体" w:hint="eastAsia"/>
              </w:rPr>
              <w:t>（25分）</w:t>
            </w:r>
          </w:p>
        </w:tc>
        <w:tc>
          <w:tcPr>
            <w:tcW w:w="1206" w:type="dxa"/>
            <w:vMerge w:val="restart"/>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满意度指标（</w:t>
            </w:r>
            <w:r>
              <w:rPr>
                <w:rFonts w:ascii="黑体" w:eastAsia="黑体" w:hAnsi="宋体" w:cs="宋体"/>
              </w:rPr>
              <w:t>20</w:t>
            </w:r>
            <w:r>
              <w:rPr>
                <w:rFonts w:ascii="黑体" w:eastAsia="黑体" w:hAnsi="宋体" w:cs="宋体" w:hint="eastAsia"/>
              </w:rPr>
              <w:t>分）</w:t>
            </w: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指标1：</w:t>
            </w:r>
            <w:r>
              <w:rPr>
                <w:rFonts w:ascii="仿宋_GB2312" w:eastAsia="仿宋_GB2312" w:hAnsi="仿宋_GB2312" w:cs="仿宋_GB2312" w:hint="eastAsia"/>
              </w:rPr>
              <w:t>服务对象综合知晓率</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≥70%</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rPr>
              <w:t>86.75</w:t>
            </w:r>
            <w:r>
              <w:rPr>
                <w:rFonts w:ascii="黑体" w:eastAsia="黑体" w:hAnsi="宋体" w:cs="宋体" w:hint="eastAsia"/>
              </w:rPr>
              <w:t>%</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rPr>
              <w:t>10</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10</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463"/>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指标2：</w:t>
            </w:r>
            <w:r>
              <w:rPr>
                <w:rFonts w:ascii="仿宋_GB2312" w:eastAsia="仿宋_GB2312" w:hAnsi="仿宋_GB2312" w:cs="仿宋_GB2312" w:hint="eastAsia"/>
              </w:rPr>
              <w:t>服务对象满意度</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≥80%</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rPr>
              <w:t>93.59</w:t>
            </w:r>
            <w:r>
              <w:rPr>
                <w:rFonts w:ascii="黑体" w:eastAsia="黑体" w:hAnsi="宋体" w:cs="宋体" w:hint="eastAsia"/>
              </w:rPr>
              <w:t>%</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10</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rPr>
              <w:t>10</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519"/>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tcBorders>
              <w:top w:val="nil"/>
              <w:left w:val="single" w:sz="4" w:space="0" w:color="auto"/>
              <w:bottom w:val="single" w:sz="4" w:space="0" w:color="auto"/>
              <w:right w:val="single" w:sz="4" w:space="0" w:color="auto"/>
            </w:tcBorders>
            <w:vAlign w:val="center"/>
          </w:tcPr>
          <w:p w:rsidR="00A328FF" w:rsidRPr="00656D81" w:rsidRDefault="00A328FF" w:rsidP="000A7D77">
            <w:pPr>
              <w:spacing w:line="200" w:lineRule="exact"/>
              <w:jc w:val="center"/>
              <w:rPr>
                <w:rFonts w:ascii="黑体" w:eastAsia="黑体" w:hAnsi="宋体" w:cs="宋体"/>
                <w:sz w:val="20"/>
              </w:rPr>
            </w:pPr>
            <w:r w:rsidRPr="00656D81">
              <w:rPr>
                <w:rFonts w:ascii="黑体" w:eastAsia="黑体" w:hAnsi="宋体" w:cs="宋体" w:hint="eastAsia"/>
                <w:sz w:val="20"/>
              </w:rPr>
              <w:t>社会效益</w:t>
            </w:r>
          </w:p>
          <w:p w:rsidR="00A328FF" w:rsidRPr="00656D81" w:rsidRDefault="00A328FF" w:rsidP="000A7D77">
            <w:pPr>
              <w:spacing w:line="200" w:lineRule="exact"/>
              <w:jc w:val="center"/>
              <w:rPr>
                <w:rFonts w:ascii="黑体" w:eastAsia="黑体" w:hAnsi="宋体" w:cs="宋体"/>
                <w:sz w:val="20"/>
              </w:rPr>
            </w:pPr>
            <w:r w:rsidRPr="00656D81">
              <w:rPr>
                <w:rFonts w:ascii="黑体" w:eastAsia="黑体" w:hAnsi="宋体" w:cs="宋体" w:hint="eastAsia"/>
                <w:sz w:val="20"/>
              </w:rPr>
              <w:t>指标（2.5分）</w:t>
            </w: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指标1：</w:t>
            </w:r>
            <w:r>
              <w:rPr>
                <w:rFonts w:ascii="仿宋_GB2312" w:eastAsia="仿宋_GB2312" w:hAnsi="仿宋_GB2312" w:cs="仿宋_GB2312" w:hint="eastAsia"/>
              </w:rPr>
              <w:t>城乡居民公共卫生差距</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仿宋_GB2312" w:eastAsia="仿宋_GB2312" w:hAnsi="仿宋_GB2312" w:cs="仿宋_GB2312"/>
              </w:rPr>
            </w:pPr>
            <w:r>
              <w:rPr>
                <w:rFonts w:ascii="仿宋_GB2312" w:eastAsia="仿宋_GB2312" w:hAnsi="仿宋_GB2312" w:cs="仿宋_GB2312" w:hint="eastAsia"/>
              </w:rPr>
              <w:t>不断缩小</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仿宋_GB2312" w:eastAsia="仿宋_GB2312" w:hAnsi="仿宋_GB2312" w:cs="仿宋_GB2312"/>
              </w:rPr>
            </w:pPr>
            <w:r>
              <w:rPr>
                <w:rFonts w:ascii="仿宋_GB2312" w:eastAsia="仿宋_GB2312" w:hAnsi="仿宋_GB2312" w:cs="仿宋_GB2312" w:hint="eastAsia"/>
              </w:rPr>
              <w:t>不断</w:t>
            </w:r>
          </w:p>
          <w:p w:rsidR="00A328FF" w:rsidRDefault="00A328FF" w:rsidP="000A7D77">
            <w:pPr>
              <w:spacing w:line="240" w:lineRule="exact"/>
              <w:jc w:val="center"/>
              <w:rPr>
                <w:rFonts w:ascii="仿宋_GB2312" w:eastAsia="仿宋_GB2312" w:hAnsi="仿宋_GB2312" w:cs="仿宋_GB2312"/>
              </w:rPr>
            </w:pPr>
            <w:r>
              <w:rPr>
                <w:rFonts w:ascii="仿宋_GB2312" w:eastAsia="仿宋_GB2312" w:hAnsi="仿宋_GB2312" w:cs="仿宋_GB2312" w:hint="eastAsia"/>
              </w:rPr>
              <w:t>缩小</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2.5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2.5</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737"/>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tcBorders>
              <w:top w:val="nil"/>
              <w:left w:val="single" w:sz="4" w:space="0" w:color="auto"/>
              <w:bottom w:val="single" w:sz="4" w:space="0" w:color="auto"/>
              <w:right w:val="single" w:sz="4" w:space="0" w:color="auto"/>
            </w:tcBorders>
            <w:vAlign w:val="center"/>
          </w:tcPr>
          <w:p w:rsidR="00A328FF" w:rsidRPr="00656D81" w:rsidRDefault="00A328FF" w:rsidP="000A7D77">
            <w:pPr>
              <w:spacing w:line="200" w:lineRule="exact"/>
              <w:jc w:val="center"/>
              <w:rPr>
                <w:rFonts w:ascii="黑体" w:eastAsia="黑体" w:hAnsi="宋体" w:cs="宋体"/>
                <w:sz w:val="20"/>
              </w:rPr>
            </w:pPr>
            <w:r w:rsidRPr="00656D81">
              <w:rPr>
                <w:rFonts w:ascii="黑体" w:eastAsia="黑体" w:hAnsi="宋体" w:cs="宋体" w:hint="eastAsia"/>
                <w:sz w:val="20"/>
              </w:rPr>
              <w:t>可持续影响指标（2.5分）</w:t>
            </w: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指标1：</w:t>
            </w:r>
            <w:r>
              <w:rPr>
                <w:rFonts w:ascii="仿宋_GB2312" w:eastAsia="仿宋_GB2312" w:hAnsi="仿宋_GB2312" w:cs="仿宋_GB2312" w:hint="eastAsia"/>
              </w:rPr>
              <w:t>基本公共卫生服务水平</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不断提高</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仿宋_GB2312" w:eastAsia="仿宋_GB2312" w:hAnsi="仿宋_GB2312" w:cs="仿宋_GB2312"/>
              </w:rPr>
            </w:pPr>
            <w:r>
              <w:rPr>
                <w:rFonts w:ascii="仿宋_GB2312" w:eastAsia="仿宋_GB2312" w:hAnsi="仿宋_GB2312" w:cs="仿宋_GB2312" w:hint="eastAsia"/>
              </w:rPr>
              <w:t>不断</w:t>
            </w:r>
          </w:p>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提高</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2.5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2.5</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300"/>
          <w:jc w:val="center"/>
        </w:trPr>
        <w:tc>
          <w:tcPr>
            <w:tcW w:w="7087" w:type="dxa"/>
            <w:gridSpan w:val="8"/>
            <w:tcBorders>
              <w:top w:val="single" w:sz="4" w:space="0" w:color="auto"/>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总分</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rPr>
              <w:t>100</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rPr>
              <w:t>97.91</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bl>
    <w:p w:rsidR="00A328FF" w:rsidRPr="00A328FF" w:rsidRDefault="00A328FF" w:rsidP="00A328FF">
      <w:pPr>
        <w:spacing w:line="600" w:lineRule="exact"/>
        <w:rPr>
          <w:rFonts w:ascii="黑体" w:eastAsia="黑体" w:hint="eastAsia"/>
          <w:bCs/>
        </w:rPr>
      </w:pPr>
      <w:r>
        <w:rPr>
          <w:rFonts w:ascii="黑体" w:eastAsia="黑体" w:hint="eastAsia"/>
          <w:bCs/>
        </w:rPr>
        <w:t>备注：各项产出指标结果数据来源为2021年度年终工作报表；满意度指标结果数据来源为第三方调查结果。</w:t>
      </w:r>
    </w:p>
    <w:p w:rsidR="00A328FF" w:rsidRDefault="00A328FF" w:rsidP="00784397">
      <w:pPr>
        <w:kinsoku/>
        <w:autoSpaceDE/>
        <w:autoSpaceDN/>
        <w:adjustRightInd/>
        <w:snapToGrid/>
        <w:spacing w:line="560" w:lineRule="exact"/>
        <w:jc w:val="center"/>
        <w:textAlignment w:val="auto"/>
        <w:rPr>
          <w:rFonts w:ascii="宋体" w:eastAsia="宋体" w:hAnsi="宋体" w:cs="Times New Roman" w:hint="eastAsia"/>
          <w:b/>
          <w:snapToGrid/>
          <w:kern w:val="2"/>
          <w:sz w:val="32"/>
          <w:szCs w:val="30"/>
        </w:rPr>
      </w:pPr>
    </w:p>
    <w:p w:rsidR="00A328FF" w:rsidRDefault="00A328FF" w:rsidP="00784397">
      <w:pPr>
        <w:kinsoku/>
        <w:autoSpaceDE/>
        <w:autoSpaceDN/>
        <w:adjustRightInd/>
        <w:snapToGrid/>
        <w:spacing w:line="560" w:lineRule="exact"/>
        <w:jc w:val="center"/>
        <w:textAlignment w:val="auto"/>
        <w:rPr>
          <w:rFonts w:ascii="宋体" w:eastAsia="宋体" w:hAnsi="宋体" w:cs="Times New Roman" w:hint="eastAsia"/>
          <w:b/>
          <w:snapToGrid/>
          <w:kern w:val="2"/>
          <w:sz w:val="32"/>
          <w:szCs w:val="30"/>
        </w:rPr>
      </w:pPr>
    </w:p>
    <w:p w:rsidR="00A328FF" w:rsidRDefault="00A328FF" w:rsidP="00784397">
      <w:pPr>
        <w:kinsoku/>
        <w:autoSpaceDE/>
        <w:autoSpaceDN/>
        <w:adjustRightInd/>
        <w:snapToGrid/>
        <w:spacing w:line="560" w:lineRule="exact"/>
        <w:jc w:val="center"/>
        <w:textAlignment w:val="auto"/>
        <w:rPr>
          <w:rFonts w:ascii="宋体" w:eastAsia="宋体" w:hAnsi="宋体" w:cs="Times New Roman" w:hint="eastAsia"/>
          <w:b/>
          <w:snapToGrid/>
          <w:kern w:val="2"/>
          <w:sz w:val="32"/>
          <w:szCs w:val="30"/>
        </w:rPr>
      </w:pPr>
    </w:p>
    <w:p w:rsidR="00A328FF" w:rsidRDefault="00A328FF" w:rsidP="00784397">
      <w:pPr>
        <w:kinsoku/>
        <w:autoSpaceDE/>
        <w:autoSpaceDN/>
        <w:adjustRightInd/>
        <w:snapToGrid/>
        <w:spacing w:line="560" w:lineRule="exact"/>
        <w:jc w:val="center"/>
        <w:textAlignment w:val="auto"/>
        <w:rPr>
          <w:rFonts w:ascii="宋体" w:eastAsia="宋体" w:hAnsi="宋体" w:cs="Times New Roman" w:hint="eastAsia"/>
          <w:b/>
          <w:snapToGrid/>
          <w:kern w:val="2"/>
          <w:sz w:val="32"/>
          <w:szCs w:val="30"/>
        </w:rPr>
      </w:pPr>
    </w:p>
    <w:p w:rsidR="00A328FF" w:rsidRDefault="00A328FF" w:rsidP="00784397">
      <w:pPr>
        <w:kinsoku/>
        <w:autoSpaceDE/>
        <w:autoSpaceDN/>
        <w:adjustRightInd/>
        <w:snapToGrid/>
        <w:spacing w:line="560" w:lineRule="exact"/>
        <w:jc w:val="center"/>
        <w:textAlignment w:val="auto"/>
        <w:rPr>
          <w:rFonts w:ascii="宋体" w:eastAsia="宋体" w:hAnsi="宋体" w:cs="Times New Roman" w:hint="eastAsia"/>
          <w:b/>
          <w:snapToGrid/>
          <w:kern w:val="2"/>
          <w:sz w:val="32"/>
          <w:szCs w:val="30"/>
        </w:rPr>
      </w:pPr>
    </w:p>
    <w:p w:rsidR="00214442" w:rsidRDefault="00D26412" w:rsidP="00784397">
      <w:pPr>
        <w:kinsoku/>
        <w:autoSpaceDE/>
        <w:autoSpaceDN/>
        <w:adjustRightInd/>
        <w:snapToGrid/>
        <w:spacing w:line="560" w:lineRule="exact"/>
        <w:jc w:val="center"/>
        <w:textAlignment w:val="auto"/>
        <w:rPr>
          <w:rFonts w:ascii="宋体" w:eastAsia="宋体" w:hAnsi="宋体" w:cs="Times New Roman"/>
          <w:b/>
          <w:snapToGrid/>
          <w:kern w:val="2"/>
          <w:sz w:val="32"/>
          <w:szCs w:val="30"/>
        </w:rPr>
      </w:pPr>
      <w:r>
        <w:rPr>
          <w:rFonts w:ascii="宋体" w:eastAsia="宋体" w:hAnsi="宋体" w:cs="Times New Roman" w:hint="eastAsia"/>
          <w:b/>
          <w:snapToGrid/>
          <w:kern w:val="2"/>
          <w:sz w:val="32"/>
          <w:szCs w:val="30"/>
        </w:rPr>
        <w:lastRenderedPageBreak/>
        <w:t>第四部分 名词解释</w:t>
      </w:r>
    </w:p>
    <w:p w:rsidR="00214442" w:rsidRDefault="00214442" w:rsidP="00784397">
      <w:pPr>
        <w:spacing w:line="560" w:lineRule="exact"/>
      </w:pPr>
    </w:p>
    <w:p w:rsidR="00214442" w:rsidRDefault="00214442" w:rsidP="00784397">
      <w:pPr>
        <w:spacing w:line="560" w:lineRule="exact"/>
      </w:pPr>
    </w:p>
    <w:p w:rsidR="00A328FF" w:rsidRPr="00633C3D" w:rsidRDefault="00A328FF" w:rsidP="00A328FF">
      <w:pPr>
        <w:spacing w:line="560" w:lineRule="exact"/>
        <w:rPr>
          <w:rFonts w:ascii="仿宋_GB2312" w:eastAsia="仿宋_GB2312" w:hAnsi="仿宋" w:cs="仿宋_GB2312"/>
          <w:sz w:val="32"/>
          <w:szCs w:val="32"/>
        </w:rPr>
      </w:pPr>
      <w:r w:rsidRPr="00633C3D">
        <w:rPr>
          <w:rFonts w:ascii="仿宋_GB2312" w:eastAsia="仿宋_GB2312" w:hAnsi="仿宋" w:cs="仿宋_GB2312" w:hint="eastAsia"/>
          <w:sz w:val="32"/>
          <w:szCs w:val="32"/>
        </w:rPr>
        <w:t>1、一般公共服务支出反映政府提供一般公共服务的支出。</w:t>
      </w:r>
      <w:r w:rsidRPr="00633C3D">
        <w:rPr>
          <w:rFonts w:ascii="仿宋_GB2312" w:eastAsia="仿宋_GB2312" w:hAnsi="仿宋" w:cs="仿宋_GB2312" w:hint="eastAsia"/>
          <w:sz w:val="32"/>
          <w:szCs w:val="32"/>
        </w:rPr>
        <w:br/>
        <w:t>2、社会保障和就业支出反映政府在社会保障与就业方面的支出。</w:t>
      </w:r>
      <w:r w:rsidRPr="00633C3D">
        <w:rPr>
          <w:rFonts w:ascii="仿宋_GB2312" w:eastAsia="仿宋_GB2312" w:hAnsi="仿宋" w:cs="仿宋_GB2312" w:hint="eastAsia"/>
          <w:sz w:val="32"/>
          <w:szCs w:val="32"/>
        </w:rPr>
        <w:br/>
        <w:t>3、住房保障支出集中反映政府用于住房方面的支出。</w:t>
      </w:r>
      <w:r w:rsidRPr="00633C3D">
        <w:rPr>
          <w:rFonts w:ascii="仿宋_GB2312" w:eastAsia="仿宋_GB2312" w:hAnsi="仿宋" w:cs="仿宋_GB2312" w:hint="eastAsia"/>
          <w:sz w:val="32"/>
          <w:szCs w:val="32"/>
        </w:rPr>
        <w:br/>
        <w:t>4、卫生健康支出反映政府用于卫生健康事业方面的支出。</w:t>
      </w:r>
      <w:r w:rsidRPr="00633C3D">
        <w:rPr>
          <w:rFonts w:ascii="仿宋_GB2312" w:eastAsia="仿宋_GB2312" w:hAnsi="仿宋" w:cs="仿宋_GB2312" w:hint="eastAsia"/>
          <w:sz w:val="32"/>
          <w:szCs w:val="32"/>
        </w:rPr>
        <w:br/>
        <w:t>5、资源勘探信息等支出反映用于资源勘探、制造业、建筑业、工业信息等方面支出。</w:t>
      </w:r>
      <w:r w:rsidRPr="00633C3D">
        <w:rPr>
          <w:rFonts w:ascii="仿宋_GB2312" w:eastAsia="仿宋_GB2312" w:hAnsi="仿宋" w:cs="仿宋_GB2312" w:hint="eastAsia"/>
          <w:sz w:val="32"/>
          <w:szCs w:val="32"/>
        </w:rPr>
        <w:br/>
        <w:t>6、工资福利支出反映单位开支的在职职工和编制外长期聘用人员的各类劳动报酬，以及为上述人员缴纳的各项社会保险费等。</w:t>
      </w:r>
      <w:r w:rsidRPr="00633C3D">
        <w:rPr>
          <w:rFonts w:ascii="仿宋_GB2312" w:eastAsia="仿宋_GB2312" w:hAnsi="仿宋" w:cs="仿宋_GB2312" w:hint="eastAsia"/>
          <w:sz w:val="32"/>
          <w:szCs w:val="32"/>
        </w:rPr>
        <w:br/>
        <w:t>7、商品和服务支出反映单位购买商品和服务支出。（不包括用于购置固定资产的支出、战略性和应急储备支出，但军事方面的耐用消费品和设备的购置费、军事性建设费以及军事建筑物的购置费等在本科目中反映）。</w:t>
      </w:r>
      <w:r w:rsidRPr="00633C3D">
        <w:rPr>
          <w:rFonts w:ascii="仿宋_GB2312" w:eastAsia="仿宋_GB2312" w:hAnsi="仿宋" w:cs="仿宋_GB2312" w:hint="eastAsia"/>
          <w:sz w:val="32"/>
          <w:szCs w:val="32"/>
        </w:rPr>
        <w:br/>
        <w:t>8、对个人和家庭的补助反映政府用于对个人和家庭的补助支出</w:t>
      </w:r>
      <w:r w:rsidRPr="00633C3D">
        <w:rPr>
          <w:rFonts w:ascii="仿宋_GB2312" w:eastAsia="仿宋_GB2312" w:hAnsi="仿宋" w:cs="仿宋_GB2312" w:hint="eastAsia"/>
          <w:sz w:val="32"/>
          <w:szCs w:val="32"/>
        </w:rPr>
        <w:br/>
        <w:t>9、“三公”经费：指使用一般公共预算财政拨款安排的因公出国(境)费、公务用车购置及运行维护费和公务接待费。其中，因公出国(境)费用反映单位公务出国(境)的国际旅费、国外城市间交通费、住宿费、伙食费、培训费、公杂费等支出；公务用车购置及运行维护费反映单位公务用车车辆购</w:t>
      </w:r>
      <w:r w:rsidRPr="00633C3D">
        <w:rPr>
          <w:rFonts w:ascii="仿宋_GB2312" w:eastAsia="仿宋_GB2312" w:hAnsi="仿宋" w:cs="仿宋_GB2312" w:hint="eastAsia"/>
          <w:sz w:val="32"/>
          <w:szCs w:val="32"/>
        </w:rPr>
        <w:lastRenderedPageBreak/>
        <w:t>置支出(含车辆购置税)及租用费、燃料费、维修费、过桥过路费、保险费、安全奖励费用等支出；公务接待费反映单位按规定开支的各类公务接待(含外宾接待)费用。</w:t>
      </w:r>
    </w:p>
    <w:p w:rsidR="00A328FF" w:rsidRPr="00633C3D" w:rsidRDefault="00A328FF" w:rsidP="00A328FF">
      <w:pPr>
        <w:spacing w:line="560" w:lineRule="exact"/>
        <w:rPr>
          <w:rFonts w:ascii="仿宋_GB2312" w:eastAsia="仿宋_GB2312" w:hAnsi="仿宋" w:cs="仿宋_GB2312"/>
          <w:sz w:val="32"/>
          <w:szCs w:val="32"/>
        </w:rPr>
      </w:pPr>
      <w:r w:rsidRPr="00633C3D">
        <w:rPr>
          <w:rFonts w:ascii="仿宋_GB2312" w:eastAsia="仿宋_GB2312" w:hAnsi="仿宋" w:cs="仿宋_GB2312" w:hint="eastAsia"/>
          <w:sz w:val="32"/>
          <w:szCs w:val="32"/>
        </w:rPr>
        <w:t>10、机关运行经费：行政单位和参照公务员法管理的事业单位为保障单位运行使用一般公共预算财政拨款安排的基本支出中的日常公用经费支出。包括办公及印刷费、邮电费、差旅费、会议费、福利费、日常维修费、专用材料及一般设备购置费、办公用房水电费、办公用房取暖费、办公用房物业管理费、公务用车运行维护费以及其他费用。</w:t>
      </w:r>
    </w:p>
    <w:p w:rsidR="00214442" w:rsidRPr="00A328FF" w:rsidRDefault="00214442" w:rsidP="00784397">
      <w:pPr>
        <w:spacing w:line="560" w:lineRule="exact"/>
        <w:rPr>
          <w:rFonts w:eastAsiaTheme="minorEastAsia" w:hint="eastAsia"/>
        </w:rPr>
      </w:pPr>
    </w:p>
    <w:sectPr w:rsidR="00214442" w:rsidRPr="00A328FF" w:rsidSect="00214442">
      <w:footerReference w:type="default" r:id="rId2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53A5" w:rsidRDefault="00AA53A5">
      <w:r>
        <w:separator/>
      </w:r>
    </w:p>
  </w:endnote>
  <w:endnote w:type="continuationSeparator" w:id="1">
    <w:p w:rsidR="00AA53A5" w:rsidRDefault="00AA53A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42" w:rsidRDefault="00D26412">
    <w:pPr>
      <w:spacing w:line="129" w:lineRule="exact"/>
      <w:ind w:firstLine="229"/>
      <w:rPr>
        <w:sz w:val="18"/>
        <w:szCs w:val="18"/>
      </w:rPr>
    </w:pPr>
    <w:r>
      <w:rPr>
        <w:spacing w:val="-2"/>
        <w:position w:val="-3"/>
        <w:sz w:val="18"/>
        <w:szCs w:val="18"/>
      </w:rPr>
      <w:t>—</w:t>
    </w:r>
    <w:r>
      <w:rPr>
        <w:spacing w:val="-7"/>
        <w:position w:val="-3"/>
        <w:sz w:val="18"/>
        <w:szCs w:val="18"/>
      </w:rPr>
      <w:t xml:space="preserve"> </w:t>
    </w:r>
    <w:r>
      <w:rPr>
        <w:spacing w:val="-2"/>
        <w:position w:val="-3"/>
        <w:sz w:val="18"/>
        <w:szCs w:val="18"/>
      </w:rPr>
      <w:t>2</w:t>
    </w:r>
    <w:r>
      <w:rPr>
        <w:spacing w:val="-18"/>
        <w:position w:val="-3"/>
        <w:sz w:val="18"/>
        <w:szCs w:val="18"/>
      </w:rPr>
      <w:t xml:space="preserve"> </w:t>
    </w:r>
    <w:r>
      <w:rPr>
        <w:spacing w:val="-2"/>
        <w:position w:val="-3"/>
        <w:sz w:val="18"/>
        <w:szCs w:val="18"/>
      </w:rP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42" w:rsidRDefault="00D26412">
    <w:pPr>
      <w:spacing w:line="116" w:lineRule="exact"/>
      <w:ind w:firstLine="8033"/>
      <w:rPr>
        <w:sz w:val="16"/>
        <w:szCs w:val="16"/>
      </w:rPr>
    </w:pPr>
    <w:r>
      <w:rPr>
        <w:spacing w:val="-3"/>
        <w:position w:val="-2"/>
        <w:sz w:val="16"/>
        <w:szCs w:val="16"/>
      </w:rPr>
      <w:t>—</w:t>
    </w:r>
    <w:r>
      <w:rPr>
        <w:spacing w:val="10"/>
        <w:position w:val="-2"/>
        <w:sz w:val="16"/>
        <w:szCs w:val="16"/>
      </w:rPr>
      <w:t xml:space="preserve"> </w:t>
    </w:r>
    <w:r>
      <w:rPr>
        <w:spacing w:val="-3"/>
        <w:position w:val="-2"/>
        <w:sz w:val="16"/>
        <w:szCs w:val="16"/>
      </w:rPr>
      <w:t>3</w:t>
    </w:r>
    <w:r>
      <w:rPr>
        <w:spacing w:val="1"/>
        <w:position w:val="-2"/>
        <w:sz w:val="16"/>
        <w:szCs w:val="16"/>
      </w:rPr>
      <w:t xml:space="preserve"> </w:t>
    </w:r>
    <w:r>
      <w:rPr>
        <w:spacing w:val="-3"/>
        <w:position w:val="-2"/>
        <w:sz w:val="16"/>
        <w:szCs w:val="16"/>
      </w:rPr>
      <w: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42" w:rsidRDefault="00D26412">
    <w:pPr>
      <w:spacing w:line="116" w:lineRule="exact"/>
      <w:ind w:firstLine="7950"/>
      <w:rPr>
        <w:sz w:val="16"/>
        <w:szCs w:val="16"/>
      </w:rPr>
    </w:pPr>
    <w:r>
      <w:rPr>
        <w:spacing w:val="-5"/>
        <w:position w:val="-2"/>
        <w:sz w:val="16"/>
        <w:szCs w:val="16"/>
      </w:rPr>
      <w:t>—</w:t>
    </w:r>
    <w:r>
      <w:rPr>
        <w:spacing w:val="20"/>
        <w:position w:val="-2"/>
        <w:sz w:val="16"/>
        <w:szCs w:val="16"/>
      </w:rPr>
      <w:t xml:space="preserve"> </w:t>
    </w:r>
    <w:r>
      <w:rPr>
        <w:spacing w:val="-5"/>
        <w:position w:val="-2"/>
        <w:sz w:val="16"/>
        <w:szCs w:val="16"/>
      </w:rPr>
      <w:t>13</w:t>
    </w:r>
    <w:r>
      <w:rPr>
        <w:spacing w:val="14"/>
        <w:position w:val="-2"/>
        <w:sz w:val="16"/>
        <w:szCs w:val="16"/>
      </w:rPr>
      <w:t xml:space="preserve">  </w:t>
    </w:r>
    <w:r>
      <w:rPr>
        <w:spacing w:val="-5"/>
        <w:position w:val="-2"/>
        <w:sz w:val="16"/>
        <w:szCs w:val="16"/>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53A5" w:rsidRDefault="00AA53A5">
      <w:r>
        <w:separator/>
      </w:r>
    </w:p>
  </w:footnote>
  <w:footnote w:type="continuationSeparator" w:id="1">
    <w:p w:rsidR="00AA53A5" w:rsidRDefault="00AA53A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MWFkNGQxNzY0MmVkNzIzZTM5ODRkZjQ5MTJjOWNjZDkifQ=="/>
  </w:docVars>
  <w:rsids>
    <w:rsidRoot w:val="39096735"/>
    <w:rsid w:val="00031A9B"/>
    <w:rsid w:val="00214442"/>
    <w:rsid w:val="002F5BE3"/>
    <w:rsid w:val="00392A12"/>
    <w:rsid w:val="003F72B3"/>
    <w:rsid w:val="004C6F43"/>
    <w:rsid w:val="00546607"/>
    <w:rsid w:val="006A701E"/>
    <w:rsid w:val="00784397"/>
    <w:rsid w:val="00897B61"/>
    <w:rsid w:val="008D50B9"/>
    <w:rsid w:val="00914334"/>
    <w:rsid w:val="0092223A"/>
    <w:rsid w:val="0092754B"/>
    <w:rsid w:val="00A328FF"/>
    <w:rsid w:val="00AA53A5"/>
    <w:rsid w:val="00BB092D"/>
    <w:rsid w:val="00BB60BC"/>
    <w:rsid w:val="00C251DA"/>
    <w:rsid w:val="00C97C5B"/>
    <w:rsid w:val="00D26412"/>
    <w:rsid w:val="00E75860"/>
    <w:rsid w:val="00EB447F"/>
    <w:rsid w:val="00F102AF"/>
    <w:rsid w:val="08D65032"/>
    <w:rsid w:val="104B26BB"/>
    <w:rsid w:val="1A6C71E2"/>
    <w:rsid w:val="21932A3C"/>
    <w:rsid w:val="223700F7"/>
    <w:rsid w:val="2C147790"/>
    <w:rsid w:val="39096735"/>
    <w:rsid w:val="408B24EB"/>
    <w:rsid w:val="4E48180D"/>
    <w:rsid w:val="553B5262"/>
    <w:rsid w:val="66F4382B"/>
    <w:rsid w:val="67665232"/>
    <w:rsid w:val="6D67095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semiHidden/>
    <w:qFormat/>
    <w:rsid w:val="00214442"/>
    <w:pPr>
      <w:kinsoku w:val="0"/>
      <w:autoSpaceDE w:val="0"/>
      <w:autoSpaceDN w:val="0"/>
      <w:adjustRightInd w:val="0"/>
      <w:snapToGrid w:val="0"/>
      <w:textAlignment w:val="baseline"/>
    </w:pPr>
    <w:rPr>
      <w:rFonts w:ascii="Arial" w:eastAsia="Arial" w:hAnsi="Arial" w:cs="Arial"/>
      <w:snapToGrid w:val="0"/>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qFormat/>
    <w:rsid w:val="00214442"/>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table" w:customStyle="1" w:styleId="TableNormal">
    <w:name w:val="Table Normal"/>
    <w:semiHidden/>
    <w:unhideWhenUsed/>
    <w:qFormat/>
    <w:rsid w:val="00214442"/>
    <w:tblPr>
      <w:tblCellMar>
        <w:top w:w="0" w:type="dxa"/>
        <w:left w:w="0" w:type="dxa"/>
        <w:bottom w:w="0" w:type="dxa"/>
        <w:right w:w="0" w:type="dxa"/>
      </w:tblCellMar>
    </w:tblPr>
  </w:style>
  <w:style w:type="paragraph" w:styleId="a4">
    <w:name w:val="footer"/>
    <w:basedOn w:val="a"/>
    <w:link w:val="Char"/>
    <w:rsid w:val="00F102AF"/>
    <w:pPr>
      <w:tabs>
        <w:tab w:val="center" w:pos="4153"/>
        <w:tab w:val="right" w:pos="8306"/>
      </w:tabs>
    </w:pPr>
    <w:rPr>
      <w:sz w:val="18"/>
      <w:szCs w:val="18"/>
    </w:rPr>
  </w:style>
  <w:style w:type="character" w:customStyle="1" w:styleId="Char">
    <w:name w:val="页脚 Char"/>
    <w:basedOn w:val="a0"/>
    <w:link w:val="a4"/>
    <w:rsid w:val="00F102AF"/>
    <w:rPr>
      <w:rFonts w:ascii="Arial" w:eastAsia="Arial" w:hAnsi="Arial" w:cs="Arial"/>
      <w:snapToGrid w:val="0"/>
      <w:color w:val="000000"/>
      <w:sz w:val="18"/>
      <w:szCs w:val="18"/>
    </w:rPr>
  </w:style>
  <w:style w:type="paragraph" w:styleId="a5">
    <w:name w:val="Balloon Text"/>
    <w:basedOn w:val="a"/>
    <w:link w:val="Char0"/>
    <w:rsid w:val="0092754B"/>
    <w:rPr>
      <w:sz w:val="18"/>
      <w:szCs w:val="18"/>
    </w:rPr>
  </w:style>
  <w:style w:type="character" w:customStyle="1" w:styleId="Char0">
    <w:name w:val="批注框文本 Char"/>
    <w:basedOn w:val="a0"/>
    <w:link w:val="a5"/>
    <w:rsid w:val="0092754B"/>
    <w:rPr>
      <w:rFonts w:ascii="Arial" w:eastAsia="Arial" w:hAnsi="Arial" w:cs="Arial"/>
      <w:snapToGrid w:val="0"/>
      <w:color w:val="000000"/>
      <w:sz w:val="18"/>
      <w:szCs w:val="18"/>
    </w:rPr>
  </w:style>
  <w:style w:type="paragraph" w:styleId="a6">
    <w:name w:val="Body Text"/>
    <w:basedOn w:val="a"/>
    <w:link w:val="Char1"/>
    <w:uiPriority w:val="1"/>
    <w:qFormat/>
    <w:rsid w:val="00A328FF"/>
    <w:pPr>
      <w:widowControl w:val="0"/>
      <w:kinsoku/>
      <w:adjustRightInd/>
      <w:snapToGrid/>
      <w:textAlignment w:val="auto"/>
    </w:pPr>
    <w:rPr>
      <w:rFonts w:ascii="宋体" w:eastAsia="宋体" w:hAnsi="宋体" w:cs="宋体"/>
      <w:snapToGrid/>
      <w:color w:val="auto"/>
      <w:sz w:val="32"/>
      <w:szCs w:val="32"/>
      <w:lang w:val="zh-CN" w:bidi="zh-CN"/>
    </w:rPr>
  </w:style>
  <w:style w:type="character" w:customStyle="1" w:styleId="Char1">
    <w:name w:val="正文文本 Char"/>
    <w:basedOn w:val="a0"/>
    <w:link w:val="a6"/>
    <w:uiPriority w:val="1"/>
    <w:rsid w:val="00A328FF"/>
    <w:rPr>
      <w:rFonts w:ascii="宋体" w:eastAsia="宋体" w:hAnsi="宋体" w:cs="宋体"/>
      <w:sz w:val="32"/>
      <w:szCs w:val="32"/>
      <w:lang w:val="zh-CN" w:bidi="zh-CN"/>
    </w:rPr>
  </w:style>
  <w:style w:type="paragraph" w:customStyle="1" w:styleId="TableParagraph">
    <w:name w:val="Table Paragraph"/>
    <w:basedOn w:val="a"/>
    <w:uiPriority w:val="1"/>
    <w:qFormat/>
    <w:rsid w:val="00A328FF"/>
    <w:pPr>
      <w:widowControl w:val="0"/>
      <w:kinsoku/>
      <w:adjustRightInd/>
      <w:snapToGrid/>
      <w:textAlignment w:val="auto"/>
    </w:pPr>
    <w:rPr>
      <w:rFonts w:ascii="宋体" w:eastAsia="宋体" w:hAnsi="宋体" w:cs="宋体"/>
      <w:snapToGrid/>
      <w:color w:val="auto"/>
      <w:sz w:val="22"/>
      <w:szCs w:val="22"/>
      <w:lang w:val="zh-CN" w:bidi="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20</Pages>
  <Words>946</Words>
  <Characters>5398</Characters>
  <Application>Microsoft Office Word</Application>
  <DocSecurity>0</DocSecurity>
  <Lines>44</Lines>
  <Paragraphs>12</Paragraphs>
  <ScaleCrop>false</ScaleCrop>
  <Company>微软中国</Company>
  <LinksUpToDate>false</LinksUpToDate>
  <CharactersWithSpaces>6332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慎独</dc:creator>
  <cp:lastModifiedBy>Administrator</cp:lastModifiedBy>
  <cp:revision>14</cp:revision>
  <dcterms:created xsi:type="dcterms:W3CDTF">2021-10-14T01:41:00Z</dcterms:created>
  <dcterms:modified xsi:type="dcterms:W3CDTF">2022-10-31T02:48:00Z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AEA32FA263BF4B289728E75BB416D713</vt:lpwstr>
  </property>
</Properties>
</file>