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9D5" w:rsidRDefault="00E87DE7">
      <w:pPr>
        <w:widowControl w:val="0"/>
        <w:autoSpaceDE/>
        <w:autoSpaceDN/>
        <w:adjustRightInd/>
        <w:snapToGrid/>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附 件1：</w:t>
      </w:r>
    </w:p>
    <w:p w:rsidR="004B49D5" w:rsidRDefault="004B49D5"/>
    <w:p w:rsidR="004B49D5" w:rsidRDefault="004B49D5"/>
    <w:p w:rsidR="004B49D5" w:rsidRDefault="004818FF">
      <w:pPr>
        <w:widowControl w:val="0"/>
        <w:kinsoku/>
        <w:autoSpaceDE/>
        <w:autoSpaceDN/>
        <w:adjustRightInd/>
        <w:snapToGrid/>
        <w:jc w:val="center"/>
        <w:textAlignment w:val="auto"/>
        <w:rPr>
          <w:rFonts w:ascii="黑体" w:eastAsia="黑体" w:hAnsi="Times New Roman" w:cs="Times New Roman"/>
          <w:snapToGrid/>
          <w:kern w:val="2"/>
          <w:sz w:val="44"/>
          <w:szCs w:val="36"/>
        </w:rPr>
      </w:pPr>
      <w:r>
        <w:rPr>
          <w:rFonts w:ascii="黑体" w:eastAsia="黑体" w:hint="eastAsia"/>
          <w:sz w:val="44"/>
          <w:szCs w:val="36"/>
        </w:rPr>
        <w:t>区公医办</w:t>
      </w:r>
      <w:r w:rsidR="00E87DE7">
        <w:rPr>
          <w:rFonts w:ascii="黑体" w:eastAsia="黑体" w:hAnsi="Times New Roman" w:cs="Times New Roman" w:hint="eastAsia"/>
          <w:snapToGrid/>
          <w:kern w:val="2"/>
          <w:sz w:val="44"/>
          <w:szCs w:val="36"/>
        </w:rPr>
        <w:t>部门2021年度部门决算</w:t>
      </w:r>
    </w:p>
    <w:p w:rsidR="004B49D5" w:rsidRDefault="004B49D5"/>
    <w:p w:rsidR="004B49D5" w:rsidRDefault="004B49D5"/>
    <w:p w:rsidR="004B49D5" w:rsidRDefault="00E87DE7">
      <w:pPr>
        <w:widowControl w:val="0"/>
        <w:kinsoku/>
        <w:autoSpaceDE/>
        <w:autoSpaceDN/>
        <w:adjustRightInd/>
        <w:snapToGrid/>
        <w:jc w:val="center"/>
        <w:textAlignment w:val="auto"/>
        <w:rPr>
          <w:rFonts w:ascii="黑体" w:eastAsia="黑体" w:hAnsi="Times New Roman" w:cs="Times New Roman"/>
          <w:snapToGrid/>
          <w:kern w:val="2"/>
          <w:sz w:val="40"/>
          <w:szCs w:val="36"/>
        </w:rPr>
      </w:pPr>
      <w:r>
        <w:rPr>
          <w:rFonts w:ascii="黑体" w:eastAsia="黑体" w:hAnsi="Times New Roman" w:cs="Times New Roman" w:hint="eastAsia"/>
          <w:snapToGrid/>
          <w:kern w:val="2"/>
          <w:sz w:val="40"/>
          <w:szCs w:val="36"/>
        </w:rPr>
        <w:t>目     录</w:t>
      </w:r>
    </w:p>
    <w:p w:rsidR="004B49D5" w:rsidRDefault="004B49D5">
      <w:pPr>
        <w:widowControl w:val="0"/>
        <w:kinsoku/>
        <w:autoSpaceDE/>
        <w:autoSpaceDN/>
        <w:adjustRightInd/>
        <w:snapToGrid/>
        <w:jc w:val="center"/>
        <w:textAlignment w:val="auto"/>
        <w:rPr>
          <w:rFonts w:ascii="黑体" w:eastAsia="黑体" w:hAnsi="Times New Roman" w:cs="Times New Roman"/>
          <w:snapToGrid/>
          <w:kern w:val="2"/>
          <w:sz w:val="40"/>
          <w:szCs w:val="36"/>
        </w:rPr>
      </w:pPr>
    </w:p>
    <w:p w:rsidR="004B49D5" w:rsidRDefault="00E87DE7">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第一部分</w:t>
      </w:r>
      <w:r w:rsidR="004818FF">
        <w:rPr>
          <w:rFonts w:ascii="黑体" w:eastAsia="黑体" w:hAnsi="黑体" w:cs="Times New Roman" w:hint="eastAsia"/>
          <w:b/>
          <w:snapToGrid/>
          <w:kern w:val="2"/>
          <w:sz w:val="32"/>
          <w:szCs w:val="32"/>
        </w:rPr>
        <w:t xml:space="preserve">  </w:t>
      </w:r>
      <w:r w:rsidR="004818FF" w:rsidRPr="006C762E">
        <w:rPr>
          <w:rFonts w:ascii="黑体" w:eastAsia="黑体" w:hAnsi="黑体" w:hint="eastAsia"/>
          <w:b/>
          <w:sz w:val="32"/>
          <w:szCs w:val="32"/>
        </w:rPr>
        <w:t>区公医办</w:t>
      </w:r>
      <w:r>
        <w:rPr>
          <w:rFonts w:ascii="黑体" w:eastAsia="黑体" w:hAnsi="黑体" w:cs="Times New Roman" w:hint="eastAsia"/>
          <w:b/>
          <w:snapToGrid/>
          <w:kern w:val="2"/>
          <w:sz w:val="32"/>
          <w:szCs w:val="32"/>
        </w:rPr>
        <w:t>部门概况</w:t>
      </w:r>
    </w:p>
    <w:p w:rsidR="004B49D5" w:rsidRDefault="00E87DE7" w:rsidP="00B4584C">
      <w:pPr>
        <w:widowControl w:val="0"/>
        <w:autoSpaceDE/>
        <w:autoSpaceDN/>
        <w:adjustRightInd/>
        <w:snapToGrid/>
        <w:ind w:firstLineChars="250" w:firstLine="755"/>
        <w:textAlignment w:val="center"/>
        <w:rPr>
          <w:rFonts w:ascii="仿宋" w:eastAsia="仿宋" w:hAnsi="仿宋" w:cs="Times New Roman"/>
          <w:snapToGrid/>
          <w:kern w:val="2"/>
          <w:sz w:val="32"/>
          <w:szCs w:val="30"/>
        </w:rPr>
      </w:pPr>
      <w:r>
        <w:rPr>
          <w:rFonts w:ascii="仿宋" w:eastAsia="仿宋" w:hAnsi="仿宋" w:cs="仿宋"/>
          <w:spacing w:val="11"/>
          <w:sz w:val="28"/>
          <w:szCs w:val="28"/>
        </w:rPr>
        <w:t>一、</w:t>
      </w:r>
      <w:r>
        <w:rPr>
          <w:rFonts w:ascii="仿宋" w:eastAsia="仿宋" w:hAnsi="仿宋" w:cs="Times New Roman" w:hint="eastAsia"/>
          <w:snapToGrid/>
          <w:kern w:val="2"/>
          <w:sz w:val="32"/>
          <w:szCs w:val="30"/>
        </w:rPr>
        <w:t>部门主要职责</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二、部门基本情况</w:t>
      </w:r>
    </w:p>
    <w:p w:rsidR="004B49D5" w:rsidRDefault="00E87DE7">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第二部分  2021年度部门决算表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一、收入支出决算总表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二、收入决算表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三、支出决算表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四、财政拨款收入支出决算总表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五、一般公共预算财政拨款支出决算表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六、一般公共预算财政拨款基本支出决算表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七、一般公共预算财政拨款“三公”经费支出决算表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八、政府性基金预算财政拨款收入支出决算表</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九、国有资本经营预算财政拨款收入支出决算表</w:t>
      </w:r>
    </w:p>
    <w:p w:rsidR="004B49D5" w:rsidRDefault="00E87DE7">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十、国有资产占用情况表</w:t>
      </w:r>
    </w:p>
    <w:p w:rsidR="004B49D5" w:rsidRDefault="00E87DE7">
      <w:pPr>
        <w:widowControl w:val="0"/>
        <w:ind w:leftChars="304" w:left="638" w:firstLineChars="103" w:firstLine="331"/>
        <w:textAlignment w:val="center"/>
        <w:rPr>
          <w:rFonts w:ascii="仿宋" w:eastAsia="仿宋" w:hAnsi="仿宋" w:cs="Times New Roman"/>
          <w:snapToGrid/>
          <w:kern w:val="2"/>
          <w:sz w:val="32"/>
          <w:szCs w:val="30"/>
        </w:rPr>
      </w:pPr>
      <w:r>
        <w:rPr>
          <w:rFonts w:ascii="黑体" w:eastAsia="黑体" w:hAnsi="黑体" w:cs="Times New Roman" w:hint="eastAsia"/>
          <w:b/>
          <w:snapToGrid/>
          <w:kern w:val="2"/>
          <w:sz w:val="32"/>
          <w:szCs w:val="32"/>
        </w:rPr>
        <w:t>第三部分  2021年度部门决算情况说明</w:t>
      </w:r>
      <w:r>
        <w:rPr>
          <w:rFonts w:ascii="黑体" w:eastAsia="黑体" w:hAnsi="黑体" w:cs="Times New Roman" w:hint="eastAsia"/>
          <w:b/>
          <w:snapToGrid/>
          <w:kern w:val="2"/>
          <w:sz w:val="32"/>
          <w:szCs w:val="32"/>
        </w:rPr>
        <w:br/>
      </w:r>
      <w:r>
        <w:rPr>
          <w:rFonts w:ascii="仿宋" w:eastAsia="仿宋" w:hAnsi="仿宋" w:cs="Times New Roman" w:hint="eastAsia"/>
          <w:snapToGrid/>
          <w:kern w:val="2"/>
          <w:sz w:val="32"/>
          <w:szCs w:val="30"/>
        </w:rPr>
        <w:t>一、收入决算情况说明</w:t>
      </w:r>
    </w:p>
    <w:p w:rsidR="004B49D5" w:rsidRDefault="00E87DE7">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二、支出决算情况说明</w:t>
      </w:r>
    </w:p>
    <w:p w:rsidR="004B49D5" w:rsidRDefault="00E87DE7">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三、财政拨款支出决算情况说明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四、一般公共预算财政拨款基本支出决算情况说明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五、一般公共预算财政拨款“三公”经费支出决算 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六、机关运行经费支出情况说明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七、政府采购支出情况说明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八、国有资产占用情况说明</w:t>
      </w:r>
    </w:p>
    <w:p w:rsidR="004B49D5" w:rsidRDefault="00E87DE7">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九、预算绩效情况说明</w:t>
      </w:r>
    </w:p>
    <w:p w:rsidR="004B49D5" w:rsidRDefault="00E87DE7">
      <w:pPr>
        <w:widowControl w:val="0"/>
        <w:autoSpaceDE/>
        <w:autoSpaceDN/>
        <w:adjustRightInd/>
        <w:snapToGrid/>
        <w:ind w:firstLine="640"/>
        <w:textAlignment w:val="center"/>
        <w:rPr>
          <w:rFonts w:ascii="黑体" w:eastAsia="黑体" w:hAnsi="黑体" w:cs="Times New Roman"/>
          <w:b/>
          <w:snapToGrid/>
          <w:kern w:val="2"/>
          <w:sz w:val="32"/>
          <w:szCs w:val="32"/>
        </w:rPr>
        <w:sectPr w:rsidR="004B49D5">
          <w:footerReference w:type="default" r:id="rId7"/>
          <w:pgSz w:w="11940" w:h="16870"/>
          <w:pgMar w:top="1433" w:right="1791" w:bottom="1507" w:left="1791" w:header="0" w:footer="1377" w:gutter="0"/>
          <w:cols w:space="720"/>
        </w:sectPr>
      </w:pPr>
      <w:r>
        <w:rPr>
          <w:rFonts w:ascii="黑体" w:eastAsia="黑体" w:hAnsi="黑体" w:cs="Times New Roman" w:hint="eastAsia"/>
          <w:b/>
          <w:snapToGrid/>
          <w:kern w:val="2"/>
          <w:sz w:val="32"/>
          <w:szCs w:val="32"/>
        </w:rPr>
        <w:t>第四部分 名词解释</w:t>
      </w:r>
    </w:p>
    <w:p w:rsidR="004B49D5" w:rsidRDefault="004B49D5"/>
    <w:p w:rsidR="004B49D5" w:rsidRDefault="00E87DE7">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t xml:space="preserve">第一部分  </w:t>
      </w:r>
      <w:r w:rsidR="004818FF">
        <w:rPr>
          <w:rFonts w:ascii="宋体" w:hAnsi="宋体" w:hint="eastAsia"/>
          <w:b/>
          <w:sz w:val="32"/>
          <w:szCs w:val="32"/>
        </w:rPr>
        <w:t>区公医办</w:t>
      </w:r>
      <w:r>
        <w:rPr>
          <w:rFonts w:ascii="宋体" w:eastAsia="宋体" w:hAnsi="宋体" w:cs="Times New Roman" w:hint="eastAsia"/>
          <w:b/>
          <w:snapToGrid/>
          <w:kern w:val="2"/>
          <w:sz w:val="32"/>
          <w:szCs w:val="30"/>
        </w:rPr>
        <w:t>概况</w:t>
      </w:r>
    </w:p>
    <w:p w:rsidR="004B49D5" w:rsidRDefault="004B49D5"/>
    <w:p w:rsidR="004B49D5" w:rsidRDefault="004B49D5" w:rsidP="003329B3">
      <w:pPr>
        <w:spacing w:line="560" w:lineRule="exact"/>
      </w:pPr>
    </w:p>
    <w:p w:rsidR="004B49D5" w:rsidRDefault="00E87DE7" w:rsidP="003329B3">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一、部门主要职能</w:t>
      </w:r>
    </w:p>
    <w:p w:rsidR="004818FF" w:rsidRPr="004D15CD" w:rsidRDefault="004818FF" w:rsidP="003329B3">
      <w:pPr>
        <w:spacing w:line="560" w:lineRule="exact"/>
        <w:ind w:firstLineChars="200" w:firstLine="640"/>
        <w:rPr>
          <w:rFonts w:ascii="仿宋" w:eastAsia="仿宋" w:hAnsi="仿宋"/>
          <w:sz w:val="32"/>
          <w:szCs w:val="32"/>
        </w:rPr>
      </w:pPr>
      <w:r w:rsidRPr="004D15CD">
        <w:rPr>
          <w:rFonts w:ascii="仿宋" w:eastAsia="仿宋" w:hAnsi="仿宋" w:hint="eastAsia"/>
          <w:sz w:val="32"/>
          <w:szCs w:val="32"/>
        </w:rPr>
        <w:t>区公费医疗管理委员会办公室是</w:t>
      </w:r>
      <w:r w:rsidRPr="004D15CD">
        <w:rPr>
          <w:rFonts w:ascii="仿宋" w:eastAsia="仿宋" w:hAnsi="仿宋"/>
          <w:sz w:val="32"/>
          <w:szCs w:val="32"/>
        </w:rPr>
        <w:t>区卫</w:t>
      </w:r>
      <w:r w:rsidRPr="004D15CD">
        <w:rPr>
          <w:rFonts w:ascii="仿宋" w:eastAsia="仿宋" w:hAnsi="仿宋" w:hint="eastAsia"/>
          <w:sz w:val="32"/>
          <w:szCs w:val="32"/>
        </w:rPr>
        <w:t>健</w:t>
      </w:r>
      <w:r w:rsidRPr="004D15CD">
        <w:rPr>
          <w:rFonts w:ascii="仿宋" w:eastAsia="仿宋" w:hAnsi="仿宋"/>
          <w:sz w:val="32"/>
          <w:szCs w:val="32"/>
        </w:rPr>
        <w:t>委下属正股级全额拨款事业单位</w:t>
      </w:r>
      <w:r w:rsidRPr="004D15CD">
        <w:rPr>
          <w:rFonts w:ascii="仿宋" w:eastAsia="仿宋" w:hAnsi="仿宋" w:hint="eastAsia"/>
          <w:sz w:val="32"/>
          <w:szCs w:val="32"/>
        </w:rPr>
        <w:t>，主要职责是：</w:t>
      </w:r>
      <w:r w:rsidRPr="004D15CD">
        <w:rPr>
          <w:rFonts w:ascii="仿宋" w:eastAsia="仿宋" w:hAnsi="仿宋"/>
          <w:sz w:val="32"/>
          <w:szCs w:val="32"/>
        </w:rPr>
        <w:t>指导和推进全区公费医疗改革和管理工作，负责本级公费医疗经费使用与监督管理，负责对承担公费医疗任务的定点医疗单位和公医享受单位执行公费医疗制度情况进行检查、指导、监督 。</w:t>
      </w:r>
    </w:p>
    <w:p w:rsidR="004B49D5" w:rsidRDefault="00E87DE7" w:rsidP="003329B3">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二、部门基本情况</w:t>
      </w:r>
    </w:p>
    <w:p w:rsidR="004B49D5" w:rsidRDefault="00E87DE7" w:rsidP="003329B3">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纳入本套部门决算汇编范围的单位共</w:t>
      </w:r>
      <w:r w:rsidR="004818FF">
        <w:rPr>
          <w:rFonts w:ascii="仿宋" w:eastAsia="仿宋" w:hAnsi="仿宋" w:cs="Times New Roman" w:hint="eastAsia"/>
          <w:snapToGrid/>
          <w:kern w:val="2"/>
          <w:sz w:val="32"/>
          <w:szCs w:val="30"/>
        </w:rPr>
        <w:t>1</w:t>
      </w:r>
      <w:r>
        <w:rPr>
          <w:rFonts w:ascii="仿宋" w:eastAsia="仿宋" w:hAnsi="仿宋" w:cs="Times New Roman" w:hint="eastAsia"/>
          <w:snapToGrid/>
          <w:kern w:val="2"/>
          <w:sz w:val="32"/>
          <w:szCs w:val="30"/>
        </w:rPr>
        <w:t xml:space="preserve"> 个，包括∶</w:t>
      </w:r>
      <w:r w:rsidR="004818FF">
        <w:rPr>
          <w:rFonts w:ascii="仿宋" w:eastAsia="仿宋" w:hAnsi="仿宋" w:cs="Times New Roman" w:hint="eastAsia"/>
          <w:snapToGrid/>
          <w:kern w:val="2"/>
          <w:sz w:val="32"/>
          <w:szCs w:val="30"/>
        </w:rPr>
        <w:t>青云谱</w:t>
      </w:r>
      <w:r w:rsidR="004818FF" w:rsidRPr="004D15CD">
        <w:rPr>
          <w:rFonts w:ascii="仿宋" w:eastAsia="仿宋" w:hAnsi="仿宋" w:hint="eastAsia"/>
          <w:sz w:val="32"/>
          <w:szCs w:val="32"/>
        </w:rPr>
        <w:t>区公费医疗管理委员会办公室</w:t>
      </w:r>
      <w:r w:rsidR="004818FF">
        <w:rPr>
          <w:rFonts w:ascii="仿宋" w:eastAsia="仿宋" w:hAnsi="仿宋" w:hint="eastAsia"/>
          <w:sz w:val="32"/>
          <w:szCs w:val="32"/>
        </w:rPr>
        <w:t>本级</w:t>
      </w:r>
      <w:r>
        <w:rPr>
          <w:rFonts w:ascii="仿宋" w:eastAsia="仿宋" w:hAnsi="仿宋" w:cs="Times New Roman" w:hint="eastAsia"/>
          <w:snapToGrid/>
          <w:kern w:val="2"/>
          <w:sz w:val="32"/>
          <w:szCs w:val="30"/>
        </w:rPr>
        <w:t>。</w:t>
      </w:r>
    </w:p>
    <w:p w:rsidR="004B49D5" w:rsidRDefault="00E87DE7" w:rsidP="003329B3">
      <w:pPr>
        <w:spacing w:line="560" w:lineRule="exact"/>
        <w:ind w:firstLine="630"/>
        <w:rPr>
          <w:rFonts w:ascii="仿宋" w:eastAsia="仿宋" w:hAnsi="仿宋" w:cs="Times New Roman"/>
          <w:snapToGrid/>
          <w:kern w:val="2"/>
          <w:sz w:val="32"/>
          <w:szCs w:val="30"/>
        </w:rPr>
        <w:sectPr w:rsidR="004B49D5">
          <w:footerReference w:type="default" r:id="rId8"/>
          <w:pgSz w:w="11910" w:h="16850"/>
          <w:pgMar w:top="1432" w:right="1578" w:bottom="1430" w:left="1786" w:header="0" w:footer="1313" w:gutter="0"/>
          <w:cols w:space="720" w:equalWidth="0">
            <w:col w:w="8545"/>
          </w:cols>
        </w:sectPr>
      </w:pPr>
      <w:r>
        <w:rPr>
          <w:rFonts w:ascii="仿宋" w:eastAsia="仿宋" w:hAnsi="仿宋" w:hint="eastAsia"/>
          <w:sz w:val="30"/>
          <w:szCs w:val="30"/>
        </w:rPr>
        <w:t xml:space="preserve">本部门2021年年末实有人数 </w:t>
      </w:r>
      <w:r w:rsidR="004818FF">
        <w:rPr>
          <w:rFonts w:ascii="仿宋" w:eastAsia="仿宋" w:hAnsi="仿宋" w:hint="eastAsia"/>
          <w:sz w:val="30"/>
          <w:szCs w:val="30"/>
        </w:rPr>
        <w:t>2</w:t>
      </w:r>
      <w:r>
        <w:rPr>
          <w:rFonts w:ascii="仿宋" w:eastAsia="仿宋" w:hAnsi="仿宋" w:hint="eastAsia"/>
          <w:sz w:val="30"/>
          <w:szCs w:val="30"/>
        </w:rPr>
        <w:t xml:space="preserve">  人，其中在职人员 </w:t>
      </w:r>
      <w:r w:rsidR="004818FF">
        <w:rPr>
          <w:rFonts w:ascii="仿宋" w:eastAsia="仿宋" w:hAnsi="仿宋" w:hint="eastAsia"/>
          <w:sz w:val="30"/>
          <w:szCs w:val="30"/>
        </w:rPr>
        <w:t>2</w:t>
      </w:r>
      <w:r>
        <w:rPr>
          <w:rFonts w:ascii="仿宋" w:eastAsia="仿宋" w:hAnsi="仿宋" w:hint="eastAsia"/>
          <w:sz w:val="30"/>
          <w:szCs w:val="30"/>
        </w:rPr>
        <w:t xml:space="preserve"> 人，离休人员 </w:t>
      </w:r>
      <w:r w:rsidR="004818FF">
        <w:rPr>
          <w:rFonts w:ascii="仿宋" w:eastAsia="仿宋" w:hAnsi="仿宋" w:hint="eastAsia"/>
          <w:sz w:val="30"/>
          <w:szCs w:val="30"/>
        </w:rPr>
        <w:t>0</w:t>
      </w:r>
      <w:r>
        <w:rPr>
          <w:rFonts w:ascii="仿宋" w:eastAsia="仿宋" w:hAnsi="仿宋" w:hint="eastAsia"/>
          <w:sz w:val="30"/>
          <w:szCs w:val="30"/>
        </w:rPr>
        <w:t xml:space="preserve"> 人，退休人员  </w:t>
      </w:r>
      <w:r w:rsidR="004818FF">
        <w:rPr>
          <w:rFonts w:ascii="仿宋" w:eastAsia="仿宋" w:hAnsi="仿宋" w:hint="eastAsia"/>
          <w:sz w:val="30"/>
          <w:szCs w:val="30"/>
        </w:rPr>
        <w:t>0</w:t>
      </w:r>
      <w:r>
        <w:rPr>
          <w:rFonts w:ascii="仿宋" w:eastAsia="仿宋" w:hAnsi="仿宋" w:hint="eastAsia"/>
          <w:sz w:val="30"/>
          <w:szCs w:val="30"/>
        </w:rPr>
        <w:t xml:space="preserve"> 人；年末其他人员 </w:t>
      </w:r>
      <w:r w:rsidR="004818FF">
        <w:rPr>
          <w:rFonts w:ascii="仿宋" w:eastAsia="仿宋" w:hAnsi="仿宋" w:hint="eastAsia"/>
          <w:sz w:val="30"/>
          <w:szCs w:val="30"/>
        </w:rPr>
        <w:t>0</w:t>
      </w:r>
      <w:r>
        <w:rPr>
          <w:rFonts w:ascii="仿宋" w:eastAsia="仿宋" w:hAnsi="仿宋" w:hint="eastAsia"/>
          <w:sz w:val="30"/>
          <w:szCs w:val="30"/>
        </w:rPr>
        <w:t xml:space="preserve"> 人；年末学生人数  </w:t>
      </w:r>
      <w:r w:rsidR="004818FF">
        <w:rPr>
          <w:rFonts w:ascii="仿宋" w:eastAsia="仿宋" w:hAnsi="仿宋" w:hint="eastAsia"/>
          <w:sz w:val="30"/>
          <w:szCs w:val="30"/>
        </w:rPr>
        <w:t>0</w:t>
      </w:r>
      <w:r>
        <w:rPr>
          <w:rFonts w:ascii="仿宋" w:eastAsia="仿宋" w:hAnsi="仿宋" w:hint="eastAsia"/>
          <w:sz w:val="30"/>
          <w:szCs w:val="30"/>
        </w:rPr>
        <w:t xml:space="preserve"> 人。</w:t>
      </w:r>
    </w:p>
    <w:p w:rsidR="004B49D5" w:rsidRDefault="00B900F8">
      <w:pPr>
        <w:jc w:val="center"/>
        <w:rPr>
          <w:rFonts w:ascii="宋体" w:eastAsia="宋体" w:hAnsi="宋体" w:cs="Times New Roman"/>
          <w:b/>
          <w:snapToGrid/>
          <w:kern w:val="2"/>
          <w:sz w:val="32"/>
          <w:szCs w:val="30"/>
        </w:rPr>
      </w:pPr>
      <w:r w:rsidRPr="00B900F8">
        <w:lastRenderedPageBreak/>
        <w:pict>
          <v:shape id="_x0000_s1026" style="position:absolute;left:0;text-align:left;margin-left:94.5pt;margin-top:616.95pt;width:1pt;height:5.55pt;z-index:-251655168;mso-position-horizontal-relative:page;mso-position-vertical-relative:page" coordsize="20,111" o:spt="100"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o:allowincell="f" adj="0,,0" path="m10,r,110e" filled="f" strokeweight="1pt">
            <v:stroke miterlimit="10" joinstyle="miter"/>
            <v:formulas/>
            <v:path o:connecttype="segments"/>
            <w10:wrap anchorx="page" anchory="page"/>
          </v:shape>
        </w:pict>
      </w:r>
      <w:r w:rsidR="00E87DE7">
        <w:rPr>
          <w:rFonts w:ascii="宋体" w:eastAsia="宋体" w:hAnsi="宋体" w:cs="Times New Roman" w:hint="eastAsia"/>
          <w:b/>
          <w:snapToGrid/>
          <w:kern w:val="2"/>
          <w:sz w:val="32"/>
          <w:szCs w:val="30"/>
        </w:rPr>
        <w:t>第二部分  2021年度部门决算表</w:t>
      </w:r>
    </w:p>
    <w:p w:rsidR="00867EEF" w:rsidRDefault="00867EEF">
      <w:pPr>
        <w:rPr>
          <w:rFonts w:eastAsiaTheme="minorEastAsia"/>
        </w:rPr>
      </w:pPr>
      <w:r>
        <w:rPr>
          <w:noProof/>
          <w:snapToGrid/>
        </w:rPr>
        <w:drawing>
          <wp:inline distT="0" distB="0" distL="0" distR="0">
            <wp:extent cx="5543550" cy="5556213"/>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543550" cy="5556213"/>
                    </a:xfrm>
                    <a:prstGeom prst="rect">
                      <a:avLst/>
                    </a:prstGeom>
                    <a:noFill/>
                    <a:ln w="9525">
                      <a:noFill/>
                      <a:miter lim="800000"/>
                      <a:headEnd/>
                      <a:tailEnd/>
                    </a:ln>
                  </pic:spPr>
                </pic:pic>
              </a:graphicData>
            </a:graphic>
          </wp:inline>
        </w:drawing>
      </w:r>
      <w:r>
        <w:rPr>
          <w:noProof/>
          <w:snapToGrid/>
        </w:rPr>
        <w:drawing>
          <wp:inline distT="0" distB="0" distL="0" distR="0">
            <wp:extent cx="5543550" cy="1919342"/>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5543550" cy="1919342"/>
                    </a:xfrm>
                    <a:prstGeom prst="rect">
                      <a:avLst/>
                    </a:prstGeom>
                    <a:noFill/>
                    <a:ln w="9525">
                      <a:noFill/>
                      <a:miter lim="800000"/>
                      <a:headEnd/>
                      <a:tailEnd/>
                    </a:ln>
                  </pic:spPr>
                </pic:pic>
              </a:graphicData>
            </a:graphic>
          </wp:inline>
        </w:drawing>
      </w:r>
      <w:r>
        <w:rPr>
          <w:noProof/>
          <w:snapToGrid/>
        </w:rPr>
        <w:lastRenderedPageBreak/>
        <w:drawing>
          <wp:inline distT="0" distB="0" distL="0" distR="0">
            <wp:extent cx="5543550" cy="2397325"/>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543550" cy="2397325"/>
                    </a:xfrm>
                    <a:prstGeom prst="rect">
                      <a:avLst/>
                    </a:prstGeom>
                    <a:noFill/>
                    <a:ln w="9525">
                      <a:noFill/>
                      <a:miter lim="800000"/>
                      <a:headEnd/>
                      <a:tailEnd/>
                    </a:ln>
                  </pic:spPr>
                </pic:pic>
              </a:graphicData>
            </a:graphic>
          </wp:inline>
        </w:drawing>
      </w:r>
      <w:r>
        <w:rPr>
          <w:noProof/>
          <w:snapToGrid/>
        </w:rPr>
        <w:drawing>
          <wp:inline distT="0" distB="0" distL="0" distR="0">
            <wp:extent cx="5543550" cy="4058625"/>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543550" cy="4058625"/>
                    </a:xfrm>
                    <a:prstGeom prst="rect">
                      <a:avLst/>
                    </a:prstGeom>
                    <a:noFill/>
                    <a:ln w="9525">
                      <a:noFill/>
                      <a:miter lim="800000"/>
                      <a:headEnd/>
                      <a:tailEnd/>
                    </a:ln>
                  </pic:spPr>
                </pic:pic>
              </a:graphicData>
            </a:graphic>
          </wp:inline>
        </w:drawing>
      </w:r>
      <w:r>
        <w:rPr>
          <w:noProof/>
          <w:snapToGrid/>
        </w:rPr>
        <w:lastRenderedPageBreak/>
        <w:drawing>
          <wp:inline distT="0" distB="0" distL="0" distR="0">
            <wp:extent cx="5543550" cy="3458436"/>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srcRect/>
                    <a:stretch>
                      <a:fillRect/>
                    </a:stretch>
                  </pic:blipFill>
                  <pic:spPr bwMode="auto">
                    <a:xfrm>
                      <a:off x="0" y="0"/>
                      <a:ext cx="5543550" cy="3458436"/>
                    </a:xfrm>
                    <a:prstGeom prst="rect">
                      <a:avLst/>
                    </a:prstGeom>
                    <a:noFill/>
                    <a:ln w="9525">
                      <a:noFill/>
                      <a:miter lim="800000"/>
                      <a:headEnd/>
                      <a:tailEnd/>
                    </a:ln>
                  </pic:spPr>
                </pic:pic>
              </a:graphicData>
            </a:graphic>
          </wp:inline>
        </w:drawing>
      </w:r>
    </w:p>
    <w:p w:rsidR="004B49D5" w:rsidRDefault="00867EEF">
      <w:r>
        <w:rPr>
          <w:noProof/>
          <w:snapToGrid/>
        </w:rPr>
        <w:lastRenderedPageBreak/>
        <w:drawing>
          <wp:inline distT="0" distB="0" distL="0" distR="0">
            <wp:extent cx="5543550" cy="5054034"/>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srcRect/>
                    <a:stretch>
                      <a:fillRect/>
                    </a:stretch>
                  </pic:blipFill>
                  <pic:spPr bwMode="auto">
                    <a:xfrm>
                      <a:off x="0" y="0"/>
                      <a:ext cx="5543550" cy="5054034"/>
                    </a:xfrm>
                    <a:prstGeom prst="rect">
                      <a:avLst/>
                    </a:prstGeom>
                    <a:noFill/>
                    <a:ln w="9525">
                      <a:noFill/>
                      <a:miter lim="800000"/>
                      <a:headEnd/>
                      <a:tailEnd/>
                    </a:ln>
                  </pic:spPr>
                </pic:pic>
              </a:graphicData>
            </a:graphic>
          </wp:inline>
        </w:drawing>
      </w:r>
      <w:r>
        <w:rPr>
          <w:noProof/>
          <w:snapToGrid/>
        </w:rPr>
        <w:drawing>
          <wp:inline distT="0" distB="0" distL="0" distR="0">
            <wp:extent cx="5543550" cy="3768585"/>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srcRect/>
                    <a:stretch>
                      <a:fillRect/>
                    </a:stretch>
                  </pic:blipFill>
                  <pic:spPr bwMode="auto">
                    <a:xfrm>
                      <a:off x="0" y="0"/>
                      <a:ext cx="5543550" cy="3768585"/>
                    </a:xfrm>
                    <a:prstGeom prst="rect">
                      <a:avLst/>
                    </a:prstGeom>
                    <a:noFill/>
                    <a:ln w="9525">
                      <a:noFill/>
                      <a:miter lim="800000"/>
                      <a:headEnd/>
                      <a:tailEnd/>
                    </a:ln>
                  </pic:spPr>
                </pic:pic>
              </a:graphicData>
            </a:graphic>
          </wp:inline>
        </w:drawing>
      </w:r>
      <w:r>
        <w:rPr>
          <w:noProof/>
          <w:snapToGrid/>
        </w:rPr>
        <w:lastRenderedPageBreak/>
        <w:drawing>
          <wp:inline distT="0" distB="0" distL="0" distR="0">
            <wp:extent cx="5543550" cy="4548900"/>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srcRect/>
                    <a:stretch>
                      <a:fillRect/>
                    </a:stretch>
                  </pic:blipFill>
                  <pic:spPr bwMode="auto">
                    <a:xfrm>
                      <a:off x="0" y="0"/>
                      <a:ext cx="5543550" cy="4548900"/>
                    </a:xfrm>
                    <a:prstGeom prst="rect">
                      <a:avLst/>
                    </a:prstGeom>
                    <a:noFill/>
                    <a:ln w="9525">
                      <a:noFill/>
                      <a:miter lim="800000"/>
                      <a:headEnd/>
                      <a:tailEnd/>
                    </a:ln>
                  </pic:spPr>
                </pic:pic>
              </a:graphicData>
            </a:graphic>
          </wp:inline>
        </w:drawing>
      </w:r>
    </w:p>
    <w:p w:rsidR="004B49D5" w:rsidRDefault="00867EEF">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lastRenderedPageBreak/>
        <w:drawing>
          <wp:inline distT="0" distB="0" distL="0" distR="0">
            <wp:extent cx="5543550" cy="1915516"/>
            <wp:effectExtent l="1905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srcRect/>
                    <a:stretch>
                      <a:fillRect/>
                    </a:stretch>
                  </pic:blipFill>
                  <pic:spPr bwMode="auto">
                    <a:xfrm>
                      <a:off x="0" y="0"/>
                      <a:ext cx="5543550" cy="1915516"/>
                    </a:xfrm>
                    <a:prstGeom prst="rect">
                      <a:avLst/>
                    </a:prstGeom>
                    <a:noFill/>
                    <a:ln w="9525">
                      <a:noFill/>
                      <a:miter lim="800000"/>
                      <a:headEnd/>
                      <a:tailEnd/>
                    </a:ln>
                  </pic:spPr>
                </pic:pic>
              </a:graphicData>
            </a:graphic>
          </wp:inline>
        </w:drawing>
      </w:r>
      <w:r>
        <w:rPr>
          <w:rFonts w:ascii="宋体" w:eastAsia="宋体" w:hAnsi="宋体" w:cs="Times New Roman"/>
          <w:b/>
          <w:noProof/>
          <w:snapToGrid/>
          <w:kern w:val="2"/>
          <w:sz w:val="32"/>
          <w:szCs w:val="30"/>
        </w:rPr>
        <w:drawing>
          <wp:inline distT="0" distB="0" distL="0" distR="0">
            <wp:extent cx="5543550" cy="2752243"/>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srcRect/>
                    <a:stretch>
                      <a:fillRect/>
                    </a:stretch>
                  </pic:blipFill>
                  <pic:spPr bwMode="auto">
                    <a:xfrm>
                      <a:off x="0" y="0"/>
                      <a:ext cx="5543550" cy="2752243"/>
                    </a:xfrm>
                    <a:prstGeom prst="rect">
                      <a:avLst/>
                    </a:prstGeom>
                    <a:noFill/>
                    <a:ln w="9525">
                      <a:noFill/>
                      <a:miter lim="800000"/>
                      <a:headEnd/>
                      <a:tailEnd/>
                    </a:ln>
                  </pic:spPr>
                </pic:pic>
              </a:graphicData>
            </a:graphic>
          </wp:inline>
        </w:drawing>
      </w:r>
      <w:r w:rsidR="00A65C64">
        <w:rPr>
          <w:rFonts w:ascii="宋体" w:eastAsia="宋体" w:hAnsi="宋体" w:cs="Times New Roman"/>
          <w:b/>
          <w:noProof/>
          <w:snapToGrid/>
          <w:kern w:val="2"/>
          <w:sz w:val="32"/>
          <w:szCs w:val="30"/>
        </w:rPr>
        <w:drawing>
          <wp:inline distT="0" distB="0" distL="0" distR="0">
            <wp:extent cx="5543550" cy="2814112"/>
            <wp:effectExtent l="1905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a:srcRect/>
                    <a:stretch>
                      <a:fillRect/>
                    </a:stretch>
                  </pic:blipFill>
                  <pic:spPr bwMode="auto">
                    <a:xfrm>
                      <a:off x="0" y="0"/>
                      <a:ext cx="5543550" cy="2814112"/>
                    </a:xfrm>
                    <a:prstGeom prst="rect">
                      <a:avLst/>
                    </a:prstGeom>
                    <a:noFill/>
                    <a:ln w="9525">
                      <a:noFill/>
                      <a:miter lim="800000"/>
                      <a:headEnd/>
                      <a:tailEnd/>
                    </a:ln>
                  </pic:spPr>
                </pic:pic>
              </a:graphicData>
            </a:graphic>
          </wp:inline>
        </w:drawing>
      </w:r>
    </w:p>
    <w:p w:rsidR="004B49D5" w:rsidRDefault="004B49D5">
      <w:pPr>
        <w:kinsoku/>
        <w:autoSpaceDE/>
        <w:autoSpaceDN/>
        <w:adjustRightInd/>
        <w:snapToGrid/>
        <w:jc w:val="center"/>
        <w:textAlignment w:val="auto"/>
        <w:rPr>
          <w:rFonts w:ascii="宋体" w:eastAsia="宋体" w:hAnsi="宋体" w:cs="Times New Roman"/>
          <w:b/>
          <w:snapToGrid/>
          <w:kern w:val="2"/>
          <w:sz w:val="32"/>
          <w:szCs w:val="30"/>
        </w:rPr>
      </w:pPr>
    </w:p>
    <w:p w:rsidR="004B49D5" w:rsidRDefault="004B49D5" w:rsidP="00867EEF">
      <w:pPr>
        <w:tabs>
          <w:tab w:val="left" w:pos="5165"/>
        </w:tabs>
        <w:kinsoku/>
        <w:autoSpaceDE/>
        <w:autoSpaceDN/>
        <w:adjustRightInd/>
        <w:snapToGrid/>
        <w:textAlignment w:val="auto"/>
        <w:rPr>
          <w:rFonts w:ascii="宋体" w:eastAsia="宋体" w:hAnsi="宋体" w:cs="Times New Roman"/>
          <w:b/>
          <w:snapToGrid/>
          <w:kern w:val="2"/>
          <w:sz w:val="32"/>
          <w:szCs w:val="30"/>
        </w:rPr>
      </w:pPr>
    </w:p>
    <w:p w:rsidR="00867EEF" w:rsidRDefault="00867EEF" w:rsidP="00D244A9">
      <w:pPr>
        <w:kinsoku/>
        <w:autoSpaceDE/>
        <w:autoSpaceDN/>
        <w:adjustRightInd/>
        <w:snapToGrid/>
        <w:textAlignment w:val="auto"/>
        <w:rPr>
          <w:rFonts w:ascii="宋体" w:eastAsia="宋体" w:hAnsi="宋体" w:cs="Times New Roman"/>
          <w:b/>
          <w:snapToGrid/>
          <w:kern w:val="2"/>
          <w:sz w:val="32"/>
          <w:szCs w:val="30"/>
        </w:rPr>
      </w:pPr>
    </w:p>
    <w:p w:rsidR="00DC5C71" w:rsidRPr="00DC5C71" w:rsidRDefault="00E87DE7" w:rsidP="00DC5C71">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第三部分    2021年度部门决算情况说明</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一、收入决算情况说明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 2021年度收入总计</w:t>
      </w:r>
      <w:r w:rsidR="00A65C64">
        <w:rPr>
          <w:rFonts w:ascii="仿宋" w:eastAsia="仿宋" w:hAnsi="仿宋" w:cs="Times New Roman" w:hint="eastAsia"/>
          <w:snapToGrid/>
          <w:kern w:val="2"/>
          <w:sz w:val="32"/>
          <w:szCs w:val="30"/>
        </w:rPr>
        <w:t>81.42</w:t>
      </w:r>
      <w:r>
        <w:rPr>
          <w:rFonts w:ascii="仿宋" w:eastAsia="仿宋" w:hAnsi="仿宋" w:cs="Times New Roman" w:hint="eastAsia"/>
          <w:snapToGrid/>
          <w:kern w:val="2"/>
          <w:sz w:val="32"/>
          <w:szCs w:val="30"/>
        </w:rPr>
        <w:t xml:space="preserve"> 万元，其中年初结转和结余 </w:t>
      </w:r>
      <w:r w:rsidR="00A65C64">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万元，较 2020年减少</w:t>
      </w:r>
      <w:r w:rsidR="00A65C64">
        <w:rPr>
          <w:rFonts w:ascii="仿宋" w:eastAsia="仿宋" w:hAnsi="仿宋" w:cs="Times New Roman" w:hint="eastAsia"/>
          <w:snapToGrid/>
          <w:kern w:val="2"/>
          <w:sz w:val="32"/>
          <w:szCs w:val="30"/>
        </w:rPr>
        <w:t>18.34</w:t>
      </w:r>
      <w:r>
        <w:rPr>
          <w:rFonts w:ascii="仿宋" w:eastAsia="仿宋" w:hAnsi="仿宋" w:cs="Times New Roman" w:hint="eastAsia"/>
          <w:snapToGrid/>
          <w:kern w:val="2"/>
          <w:sz w:val="32"/>
          <w:szCs w:val="30"/>
        </w:rPr>
        <w:t>万元，下降</w:t>
      </w:r>
      <w:r w:rsidR="00A65C64">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本年收入合计 </w:t>
      </w:r>
      <w:r w:rsidR="00A65C64">
        <w:rPr>
          <w:rFonts w:ascii="仿宋" w:eastAsia="仿宋" w:hAnsi="仿宋" w:cs="Times New Roman" w:hint="eastAsia"/>
          <w:snapToGrid/>
          <w:kern w:val="2"/>
          <w:sz w:val="32"/>
          <w:szCs w:val="30"/>
        </w:rPr>
        <w:t>81.42</w:t>
      </w:r>
      <w:r>
        <w:rPr>
          <w:rFonts w:ascii="仿宋" w:eastAsia="仿宋" w:hAnsi="仿宋" w:cs="Times New Roman" w:hint="eastAsia"/>
          <w:snapToGrid/>
          <w:kern w:val="2"/>
          <w:sz w:val="32"/>
          <w:szCs w:val="30"/>
        </w:rPr>
        <w:t>万元，较 2020年增加</w:t>
      </w:r>
      <w:r w:rsidR="00A65C64">
        <w:rPr>
          <w:rFonts w:ascii="仿宋" w:eastAsia="仿宋" w:hAnsi="仿宋" w:cs="Times New Roman" w:hint="eastAsia"/>
          <w:snapToGrid/>
          <w:kern w:val="2"/>
          <w:sz w:val="32"/>
          <w:szCs w:val="30"/>
        </w:rPr>
        <w:t>18.3</w:t>
      </w:r>
      <w:r>
        <w:rPr>
          <w:rFonts w:ascii="仿宋" w:eastAsia="仿宋" w:hAnsi="仿宋" w:cs="Times New Roman" w:hint="eastAsia"/>
          <w:snapToGrid/>
          <w:kern w:val="2"/>
          <w:sz w:val="32"/>
          <w:szCs w:val="30"/>
        </w:rPr>
        <w:t>万元，增长</w:t>
      </w:r>
      <w:r w:rsidR="00A65C64">
        <w:rPr>
          <w:rFonts w:ascii="仿宋" w:eastAsia="仿宋" w:hAnsi="仿宋" w:cs="Times New Roman" w:hint="eastAsia"/>
          <w:snapToGrid/>
          <w:kern w:val="2"/>
          <w:sz w:val="32"/>
          <w:szCs w:val="30"/>
        </w:rPr>
        <w:t>28.99</w:t>
      </w:r>
      <w:r>
        <w:rPr>
          <w:rFonts w:ascii="仿宋" w:eastAsia="仿宋" w:hAnsi="仿宋" w:cs="Times New Roman" w:hint="eastAsia"/>
          <w:snapToGrid/>
          <w:kern w:val="2"/>
          <w:sz w:val="32"/>
          <w:szCs w:val="30"/>
        </w:rPr>
        <w:t xml:space="preserve"> %。</w:t>
      </w:r>
      <w:r w:rsidR="00B4584C">
        <w:rPr>
          <w:rFonts w:ascii="仿宋" w:eastAsia="仿宋" w:hAnsi="仿宋" w:cs="Times New Roman" w:hint="eastAsia"/>
          <w:snapToGrid/>
          <w:kern w:val="2"/>
          <w:sz w:val="32"/>
          <w:szCs w:val="30"/>
        </w:rPr>
        <w:t>本年收入的具体构成为：</w:t>
      </w:r>
      <w:r>
        <w:rPr>
          <w:rFonts w:ascii="仿宋" w:eastAsia="仿宋" w:hAnsi="仿宋" w:cs="Times New Roman" w:hint="eastAsia"/>
          <w:snapToGrid/>
          <w:kern w:val="2"/>
          <w:sz w:val="32"/>
          <w:szCs w:val="30"/>
        </w:rPr>
        <w:t xml:space="preserve">财政拨款收入 </w:t>
      </w:r>
      <w:r w:rsidR="00A65C64">
        <w:rPr>
          <w:rFonts w:ascii="仿宋" w:eastAsia="仿宋" w:hAnsi="仿宋" w:cs="Times New Roman" w:hint="eastAsia"/>
          <w:snapToGrid/>
          <w:kern w:val="2"/>
          <w:sz w:val="32"/>
          <w:szCs w:val="30"/>
        </w:rPr>
        <w:t>81.42</w:t>
      </w:r>
      <w:r>
        <w:rPr>
          <w:rFonts w:ascii="仿宋" w:eastAsia="仿宋" w:hAnsi="仿宋" w:cs="Times New Roman" w:hint="eastAsia"/>
          <w:snapToGrid/>
          <w:kern w:val="2"/>
          <w:sz w:val="32"/>
          <w:szCs w:val="30"/>
        </w:rPr>
        <w:t>万元，占</w:t>
      </w:r>
      <w:r w:rsidR="00A65C64">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二、支出决算情况说明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2021年度支出总计 </w:t>
      </w:r>
      <w:r w:rsidR="00A65C64">
        <w:rPr>
          <w:rFonts w:ascii="仿宋" w:eastAsia="仿宋" w:hAnsi="仿宋" w:cs="Times New Roman" w:hint="eastAsia"/>
          <w:snapToGrid/>
          <w:kern w:val="2"/>
          <w:sz w:val="32"/>
          <w:szCs w:val="30"/>
        </w:rPr>
        <w:t>81.42</w:t>
      </w:r>
      <w:r>
        <w:rPr>
          <w:rFonts w:ascii="仿宋" w:eastAsia="仿宋" w:hAnsi="仿宋" w:cs="Times New Roman" w:hint="eastAsia"/>
          <w:snapToGrid/>
          <w:kern w:val="2"/>
          <w:sz w:val="32"/>
          <w:szCs w:val="30"/>
        </w:rPr>
        <w:t xml:space="preserve">万元，其中本年支出合计  </w:t>
      </w:r>
      <w:r w:rsidR="00A65C64">
        <w:rPr>
          <w:rFonts w:ascii="仿宋" w:eastAsia="仿宋" w:hAnsi="仿宋" w:cs="Times New Roman" w:hint="eastAsia"/>
          <w:snapToGrid/>
          <w:kern w:val="2"/>
          <w:sz w:val="32"/>
          <w:szCs w:val="30"/>
        </w:rPr>
        <w:t xml:space="preserve">81.42 </w:t>
      </w:r>
      <w:r>
        <w:rPr>
          <w:rFonts w:ascii="仿宋" w:eastAsia="仿宋" w:hAnsi="仿宋" w:cs="Times New Roman" w:hint="eastAsia"/>
          <w:snapToGrid/>
          <w:kern w:val="2"/>
          <w:sz w:val="32"/>
          <w:szCs w:val="30"/>
        </w:rPr>
        <w:t>万元，较 2020年增加</w:t>
      </w:r>
      <w:r w:rsidR="00A65C64">
        <w:rPr>
          <w:rFonts w:ascii="仿宋" w:eastAsia="仿宋" w:hAnsi="仿宋" w:cs="Times New Roman" w:hint="eastAsia"/>
          <w:snapToGrid/>
          <w:kern w:val="2"/>
          <w:sz w:val="32"/>
          <w:szCs w:val="30"/>
        </w:rPr>
        <w:t>18.3</w:t>
      </w:r>
      <w:r>
        <w:rPr>
          <w:rFonts w:ascii="仿宋" w:eastAsia="仿宋" w:hAnsi="仿宋" w:cs="Times New Roman" w:hint="eastAsia"/>
          <w:snapToGrid/>
          <w:kern w:val="2"/>
          <w:sz w:val="32"/>
          <w:szCs w:val="30"/>
        </w:rPr>
        <w:t>万元，增长</w:t>
      </w:r>
      <w:r w:rsidR="00A65C64">
        <w:rPr>
          <w:rFonts w:ascii="仿宋" w:eastAsia="仿宋" w:hAnsi="仿宋" w:cs="Times New Roman" w:hint="eastAsia"/>
          <w:snapToGrid/>
          <w:kern w:val="2"/>
          <w:sz w:val="32"/>
          <w:szCs w:val="30"/>
        </w:rPr>
        <w:t xml:space="preserve">28.99 </w:t>
      </w:r>
      <w:r>
        <w:rPr>
          <w:rFonts w:ascii="仿宋" w:eastAsia="仿宋" w:hAnsi="仿宋" w:cs="Times New Roman" w:hint="eastAsia"/>
          <w:snapToGrid/>
          <w:kern w:val="2"/>
          <w:sz w:val="32"/>
          <w:szCs w:val="30"/>
        </w:rPr>
        <w:t xml:space="preserve">%;年末结转和结余 </w:t>
      </w:r>
      <w:r w:rsidR="00B4584C">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万元，较 2020</w:t>
      </w:r>
      <w:r w:rsidR="00243FE8">
        <w:rPr>
          <w:rFonts w:ascii="仿宋" w:eastAsia="仿宋" w:hAnsi="仿宋" w:cs="Times New Roman" w:hint="eastAsia"/>
          <w:snapToGrid/>
          <w:kern w:val="2"/>
          <w:sz w:val="32"/>
          <w:szCs w:val="30"/>
        </w:rPr>
        <w:t>年</w:t>
      </w:r>
      <w:r>
        <w:rPr>
          <w:rFonts w:ascii="仿宋" w:eastAsia="仿宋" w:hAnsi="仿宋" w:cs="Times New Roman" w:hint="eastAsia"/>
          <w:snapToGrid/>
          <w:kern w:val="2"/>
          <w:sz w:val="32"/>
          <w:szCs w:val="30"/>
        </w:rPr>
        <w:t>减少</w:t>
      </w:r>
      <w:r w:rsidR="00243FE8">
        <w:rPr>
          <w:rFonts w:ascii="仿宋" w:eastAsia="仿宋" w:hAnsi="仿宋" w:cs="Times New Roman" w:hint="eastAsia"/>
          <w:snapToGrid/>
          <w:kern w:val="2"/>
          <w:sz w:val="32"/>
          <w:szCs w:val="30"/>
        </w:rPr>
        <w:t>10.39</w:t>
      </w:r>
      <w:r>
        <w:rPr>
          <w:rFonts w:ascii="仿宋" w:eastAsia="仿宋" w:hAnsi="仿宋" w:cs="Times New Roman" w:hint="eastAsia"/>
          <w:snapToGrid/>
          <w:kern w:val="2"/>
          <w:sz w:val="32"/>
          <w:szCs w:val="30"/>
        </w:rPr>
        <w:t>万元，主要原因是∶</w:t>
      </w:r>
      <w:r w:rsidR="00390B89">
        <w:rPr>
          <w:rFonts w:ascii="仿宋" w:eastAsia="仿宋" w:hAnsi="仿宋" w:cs="Times New Roman" w:hint="eastAsia"/>
          <w:snapToGrid/>
          <w:kern w:val="2"/>
          <w:sz w:val="32"/>
          <w:szCs w:val="30"/>
        </w:rPr>
        <w:t>本年末</w:t>
      </w:r>
      <w:r w:rsidR="00243FE8">
        <w:rPr>
          <w:rFonts w:ascii="仿宋" w:eastAsia="仿宋" w:hAnsi="仿宋" w:cs="Times New Roman" w:hint="eastAsia"/>
          <w:snapToGrid/>
          <w:kern w:val="2"/>
          <w:sz w:val="32"/>
          <w:szCs w:val="30"/>
        </w:rPr>
        <w:t>财政收回额度，单位无结余</w:t>
      </w:r>
      <w:r>
        <w:rPr>
          <w:rFonts w:ascii="仿宋" w:eastAsia="仿宋" w:hAnsi="仿宋" w:cs="Times New Roman" w:hint="eastAsia"/>
          <w:snapToGrid/>
          <w:kern w:val="2"/>
          <w:sz w:val="32"/>
          <w:szCs w:val="30"/>
        </w:rPr>
        <w:t>。</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本年支出的具体构成为∶基本支出 </w:t>
      </w:r>
      <w:r w:rsidR="00390B89">
        <w:rPr>
          <w:rFonts w:ascii="仿宋" w:eastAsia="仿宋" w:hAnsi="仿宋" w:cs="Times New Roman" w:hint="eastAsia"/>
          <w:snapToGrid/>
          <w:kern w:val="2"/>
          <w:sz w:val="32"/>
          <w:szCs w:val="30"/>
        </w:rPr>
        <w:t>30.05</w:t>
      </w:r>
      <w:r w:rsidR="00404254">
        <w:rPr>
          <w:rFonts w:ascii="仿宋" w:eastAsia="仿宋" w:hAnsi="仿宋" w:cs="Times New Roman" w:hint="eastAsia"/>
          <w:snapToGrid/>
          <w:kern w:val="2"/>
          <w:sz w:val="32"/>
          <w:szCs w:val="30"/>
        </w:rPr>
        <w:t>万元，占</w:t>
      </w:r>
      <w:r w:rsidR="00390B89">
        <w:rPr>
          <w:rFonts w:ascii="仿宋" w:eastAsia="仿宋" w:hAnsi="仿宋" w:cs="Times New Roman" w:hint="eastAsia"/>
          <w:snapToGrid/>
          <w:kern w:val="2"/>
          <w:sz w:val="32"/>
          <w:szCs w:val="30"/>
        </w:rPr>
        <w:t>36.91</w:t>
      </w:r>
      <w:r>
        <w:rPr>
          <w:rFonts w:ascii="仿宋" w:eastAsia="仿宋" w:hAnsi="仿宋" w:cs="Times New Roman" w:hint="eastAsia"/>
          <w:snapToGrid/>
          <w:kern w:val="2"/>
          <w:sz w:val="32"/>
          <w:szCs w:val="30"/>
        </w:rPr>
        <w:t xml:space="preserve"> %; 项目支出 </w:t>
      </w:r>
      <w:r w:rsidR="00390B89">
        <w:rPr>
          <w:rFonts w:ascii="仿宋" w:eastAsia="仿宋" w:hAnsi="仿宋" w:cs="Times New Roman" w:hint="eastAsia"/>
          <w:snapToGrid/>
          <w:kern w:val="2"/>
          <w:sz w:val="32"/>
          <w:szCs w:val="30"/>
        </w:rPr>
        <w:t>51.37</w:t>
      </w:r>
      <w:r>
        <w:rPr>
          <w:rFonts w:ascii="仿宋" w:eastAsia="仿宋" w:hAnsi="仿宋" w:cs="Times New Roman" w:hint="eastAsia"/>
          <w:snapToGrid/>
          <w:kern w:val="2"/>
          <w:sz w:val="32"/>
          <w:szCs w:val="30"/>
        </w:rPr>
        <w:t>万元，占</w:t>
      </w:r>
      <w:r w:rsidR="00390B89">
        <w:rPr>
          <w:rFonts w:ascii="仿宋" w:eastAsia="仿宋" w:hAnsi="仿宋" w:cs="Times New Roman" w:hint="eastAsia"/>
          <w:snapToGrid/>
          <w:kern w:val="2"/>
          <w:sz w:val="32"/>
          <w:szCs w:val="30"/>
        </w:rPr>
        <w:t>63.09</w:t>
      </w:r>
      <w:r>
        <w:rPr>
          <w:rFonts w:ascii="仿宋" w:eastAsia="仿宋" w:hAnsi="仿宋" w:cs="Times New Roman" w:hint="eastAsia"/>
          <w:snapToGrid/>
          <w:kern w:val="2"/>
          <w:sz w:val="32"/>
          <w:szCs w:val="30"/>
        </w:rPr>
        <w:t xml:space="preserve"> %。</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三、财政拨款支出决算情况说明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本部门2021 年度财政拨款本年支出年初预算数为</w:t>
      </w:r>
      <w:r w:rsidR="002510E7">
        <w:rPr>
          <w:rFonts w:ascii="仿宋" w:eastAsia="仿宋" w:hAnsi="仿宋" w:cs="Times New Roman" w:hint="eastAsia"/>
          <w:snapToGrid/>
          <w:kern w:val="2"/>
          <w:sz w:val="32"/>
          <w:szCs w:val="30"/>
        </w:rPr>
        <w:t>151.9</w:t>
      </w:r>
      <w:r>
        <w:rPr>
          <w:rFonts w:ascii="仿宋" w:eastAsia="仿宋" w:hAnsi="仿宋" w:cs="Times New Roman" w:hint="eastAsia"/>
          <w:snapToGrid/>
          <w:kern w:val="2"/>
          <w:sz w:val="32"/>
          <w:szCs w:val="30"/>
        </w:rPr>
        <w:t xml:space="preserve"> </w:t>
      </w:r>
      <w:r w:rsidR="002510E7">
        <w:rPr>
          <w:rFonts w:ascii="仿宋" w:eastAsia="仿宋" w:hAnsi="仿宋" w:cs="Times New Roman" w:hint="eastAsia"/>
          <w:snapToGrid/>
          <w:kern w:val="2"/>
          <w:sz w:val="32"/>
          <w:szCs w:val="30"/>
        </w:rPr>
        <w:t>万元，</w:t>
      </w:r>
      <w:r>
        <w:rPr>
          <w:rFonts w:ascii="仿宋" w:eastAsia="仿宋" w:hAnsi="仿宋" w:cs="Times New Roman" w:hint="eastAsia"/>
          <w:snapToGrid/>
          <w:kern w:val="2"/>
          <w:sz w:val="32"/>
          <w:szCs w:val="30"/>
        </w:rPr>
        <w:t xml:space="preserve">决算数为 </w:t>
      </w:r>
      <w:r w:rsidR="002510E7">
        <w:rPr>
          <w:rFonts w:ascii="仿宋" w:eastAsia="仿宋" w:hAnsi="仿宋" w:cs="Times New Roman" w:hint="eastAsia"/>
          <w:snapToGrid/>
          <w:kern w:val="2"/>
          <w:sz w:val="32"/>
          <w:szCs w:val="30"/>
        </w:rPr>
        <w:t>81.42</w:t>
      </w:r>
      <w:r>
        <w:rPr>
          <w:rFonts w:ascii="仿宋" w:eastAsia="仿宋" w:hAnsi="仿宋" w:cs="Times New Roman" w:hint="eastAsia"/>
          <w:snapToGrid/>
          <w:kern w:val="2"/>
          <w:sz w:val="32"/>
          <w:szCs w:val="30"/>
        </w:rPr>
        <w:t>万元，完成年初预算的</w:t>
      </w:r>
      <w:r w:rsidR="002510E7">
        <w:rPr>
          <w:rFonts w:ascii="仿宋" w:eastAsia="仿宋" w:hAnsi="仿宋" w:cs="Times New Roman" w:hint="eastAsia"/>
          <w:snapToGrid/>
          <w:kern w:val="2"/>
          <w:sz w:val="32"/>
          <w:szCs w:val="30"/>
        </w:rPr>
        <w:t>53.6</w:t>
      </w:r>
      <w:r>
        <w:rPr>
          <w:rFonts w:ascii="仿宋" w:eastAsia="仿宋" w:hAnsi="仿宋" w:cs="Times New Roman" w:hint="eastAsia"/>
          <w:snapToGrid/>
          <w:kern w:val="2"/>
          <w:sz w:val="32"/>
          <w:szCs w:val="30"/>
        </w:rPr>
        <w:t xml:space="preserve"> %。其中∶</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w:t>
      </w:r>
      <w:r w:rsidR="00CF7B07">
        <w:rPr>
          <w:rFonts w:ascii="仿宋" w:eastAsia="仿宋" w:hAnsi="仿宋" w:cs="Times New Roman" w:hint="eastAsia"/>
          <w:snapToGrid/>
          <w:kern w:val="2"/>
          <w:sz w:val="32"/>
          <w:szCs w:val="30"/>
        </w:rPr>
        <w:t>社会保障和就业</w:t>
      </w:r>
      <w:r>
        <w:rPr>
          <w:rFonts w:ascii="仿宋" w:eastAsia="仿宋" w:hAnsi="仿宋" w:cs="Times New Roman" w:hint="eastAsia"/>
          <w:snapToGrid/>
          <w:kern w:val="2"/>
          <w:sz w:val="32"/>
          <w:szCs w:val="30"/>
        </w:rPr>
        <w:t xml:space="preserve">支出年初预算数为 </w:t>
      </w:r>
      <w:r w:rsidR="00CF7B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万元，决算数为</w:t>
      </w:r>
      <w:r w:rsidR="00CF7B07">
        <w:rPr>
          <w:rFonts w:ascii="仿宋" w:eastAsia="仿宋" w:hAnsi="仿宋" w:cs="Times New Roman" w:hint="eastAsia"/>
          <w:snapToGrid/>
          <w:kern w:val="2"/>
          <w:sz w:val="32"/>
          <w:szCs w:val="30"/>
        </w:rPr>
        <w:t>0.89</w:t>
      </w:r>
      <w:r>
        <w:rPr>
          <w:rFonts w:ascii="仿宋" w:eastAsia="仿宋" w:hAnsi="仿宋" w:cs="Times New Roman" w:hint="eastAsia"/>
          <w:snapToGrid/>
          <w:kern w:val="2"/>
          <w:sz w:val="32"/>
          <w:szCs w:val="30"/>
        </w:rPr>
        <w:t xml:space="preserve"> 万元。</w:t>
      </w:r>
    </w:p>
    <w:p w:rsidR="00655A24" w:rsidRDefault="00E87DE7" w:rsidP="00655A2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w:t>
      </w:r>
      <w:r w:rsidR="00CF7B07">
        <w:rPr>
          <w:rFonts w:ascii="仿宋" w:eastAsia="仿宋" w:hAnsi="仿宋" w:cs="Times New Roman" w:hint="eastAsia"/>
          <w:snapToGrid/>
          <w:kern w:val="2"/>
          <w:sz w:val="32"/>
          <w:szCs w:val="30"/>
        </w:rPr>
        <w:t>卫生健康</w:t>
      </w:r>
      <w:r>
        <w:rPr>
          <w:rFonts w:ascii="仿宋" w:eastAsia="仿宋" w:hAnsi="仿宋" w:cs="Times New Roman" w:hint="eastAsia"/>
          <w:snapToGrid/>
          <w:kern w:val="2"/>
          <w:sz w:val="32"/>
          <w:szCs w:val="30"/>
        </w:rPr>
        <w:t xml:space="preserve">支出年初预算数为 </w:t>
      </w:r>
      <w:r w:rsidR="00CF7B07">
        <w:rPr>
          <w:rFonts w:ascii="仿宋" w:eastAsia="仿宋" w:hAnsi="仿宋" w:cs="Times New Roman" w:hint="eastAsia"/>
          <w:snapToGrid/>
          <w:kern w:val="2"/>
          <w:sz w:val="32"/>
          <w:szCs w:val="30"/>
        </w:rPr>
        <w:t>150.54</w:t>
      </w:r>
      <w:r>
        <w:rPr>
          <w:rFonts w:ascii="仿宋" w:eastAsia="仿宋" w:hAnsi="仿宋" w:cs="Times New Roman" w:hint="eastAsia"/>
          <w:snapToGrid/>
          <w:kern w:val="2"/>
          <w:sz w:val="32"/>
          <w:szCs w:val="30"/>
        </w:rPr>
        <w:t xml:space="preserve">万元，决算数为 </w:t>
      </w:r>
      <w:r w:rsidR="00CF7B07">
        <w:rPr>
          <w:rFonts w:ascii="仿宋" w:eastAsia="仿宋" w:hAnsi="仿宋" w:cs="Times New Roman" w:hint="eastAsia"/>
          <w:snapToGrid/>
          <w:kern w:val="2"/>
          <w:sz w:val="32"/>
          <w:szCs w:val="30"/>
        </w:rPr>
        <w:t>80.53</w:t>
      </w:r>
      <w:r>
        <w:rPr>
          <w:rFonts w:ascii="仿宋" w:eastAsia="仿宋" w:hAnsi="仿宋" w:cs="Times New Roman" w:hint="eastAsia"/>
          <w:snapToGrid/>
          <w:kern w:val="2"/>
          <w:sz w:val="32"/>
          <w:szCs w:val="30"/>
        </w:rPr>
        <w:t>万元，完成年初预算的</w:t>
      </w:r>
      <w:r w:rsidR="00CF7B07">
        <w:rPr>
          <w:rFonts w:ascii="仿宋" w:eastAsia="仿宋" w:hAnsi="仿宋" w:cs="Times New Roman" w:hint="eastAsia"/>
          <w:snapToGrid/>
          <w:kern w:val="2"/>
          <w:sz w:val="32"/>
          <w:szCs w:val="30"/>
        </w:rPr>
        <w:t>53.49</w:t>
      </w:r>
      <w:r>
        <w:rPr>
          <w:rFonts w:ascii="仿宋" w:eastAsia="仿宋" w:hAnsi="仿宋" w:cs="Times New Roman" w:hint="eastAsia"/>
          <w:snapToGrid/>
          <w:kern w:val="2"/>
          <w:sz w:val="32"/>
          <w:szCs w:val="30"/>
        </w:rPr>
        <w:t xml:space="preserve"> %。</w:t>
      </w:r>
    </w:p>
    <w:p w:rsidR="004B49D5" w:rsidRPr="0003440D" w:rsidRDefault="00000C16" w:rsidP="0003440D">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（三）住房保障支出年初预算数为1.36万元，决算数为0万元。</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lastRenderedPageBreak/>
        <w:t>四、一般公共预算财政拨款基本支出决算情况说明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2021年度一般公共预算财政拨款基本支出 </w:t>
      </w:r>
      <w:r w:rsidR="00C8323D">
        <w:rPr>
          <w:rFonts w:ascii="仿宋" w:eastAsia="仿宋" w:hAnsi="仿宋" w:cs="Times New Roman" w:hint="eastAsia"/>
          <w:snapToGrid/>
          <w:kern w:val="2"/>
          <w:sz w:val="32"/>
          <w:szCs w:val="30"/>
        </w:rPr>
        <w:t>30.05</w:t>
      </w:r>
      <w:r>
        <w:rPr>
          <w:rFonts w:ascii="仿宋" w:eastAsia="仿宋" w:hAnsi="仿宋" w:cs="Times New Roman" w:hint="eastAsia"/>
          <w:snapToGrid/>
          <w:kern w:val="2"/>
          <w:sz w:val="32"/>
          <w:szCs w:val="30"/>
        </w:rPr>
        <w:t>万元，其中∶</w:t>
      </w:r>
    </w:p>
    <w:p w:rsidR="004B49D5" w:rsidRPr="00DC5C71"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Pr>
          <w:rFonts w:ascii="仿宋" w:eastAsia="仿宋" w:hAnsi="仿宋" w:cs="Times New Roman" w:hint="eastAsia"/>
          <w:snapToGrid/>
          <w:kern w:val="2"/>
          <w:sz w:val="32"/>
          <w:szCs w:val="30"/>
        </w:rPr>
        <w:t xml:space="preserve">（一）工资福利支出 </w:t>
      </w:r>
      <w:r w:rsidR="00C8323D">
        <w:rPr>
          <w:rFonts w:ascii="仿宋" w:eastAsia="仿宋" w:hAnsi="仿宋" w:cs="Times New Roman" w:hint="eastAsia"/>
          <w:snapToGrid/>
          <w:kern w:val="2"/>
          <w:sz w:val="32"/>
          <w:szCs w:val="30"/>
        </w:rPr>
        <w:t>30.05</w:t>
      </w:r>
      <w:r>
        <w:rPr>
          <w:rFonts w:ascii="仿宋" w:eastAsia="仿宋" w:hAnsi="仿宋" w:cs="Times New Roman" w:hint="eastAsia"/>
          <w:snapToGrid/>
          <w:kern w:val="2"/>
          <w:sz w:val="32"/>
          <w:szCs w:val="30"/>
        </w:rPr>
        <w:t>万元，较 2020年增加</w:t>
      </w:r>
      <w:r w:rsidR="00C8323D">
        <w:rPr>
          <w:rFonts w:ascii="仿宋" w:eastAsia="仿宋" w:hAnsi="仿宋" w:cs="Times New Roman" w:hint="eastAsia"/>
          <w:snapToGrid/>
          <w:kern w:val="2"/>
          <w:sz w:val="32"/>
          <w:szCs w:val="30"/>
        </w:rPr>
        <w:t>10.61</w:t>
      </w:r>
      <w:r>
        <w:rPr>
          <w:rFonts w:ascii="仿宋" w:eastAsia="仿宋" w:hAnsi="仿宋" w:cs="Times New Roman" w:hint="eastAsia"/>
          <w:snapToGrid/>
          <w:kern w:val="2"/>
          <w:sz w:val="32"/>
          <w:szCs w:val="30"/>
        </w:rPr>
        <w:t>万元，增长</w:t>
      </w:r>
      <w:r w:rsidR="00C8323D">
        <w:rPr>
          <w:rFonts w:ascii="仿宋" w:eastAsia="仿宋" w:hAnsi="仿宋" w:cs="Times New Roman" w:hint="eastAsia"/>
          <w:snapToGrid/>
          <w:kern w:val="2"/>
          <w:sz w:val="32"/>
          <w:szCs w:val="30"/>
        </w:rPr>
        <w:t>54.</w:t>
      </w:r>
      <w:r w:rsidR="00C8323D" w:rsidRPr="00DC5C71">
        <w:rPr>
          <w:rFonts w:ascii="仿宋" w:eastAsia="仿宋" w:hAnsi="仿宋" w:cs="Times New Roman" w:hint="eastAsia"/>
          <w:snapToGrid/>
          <w:color w:val="auto"/>
          <w:kern w:val="2"/>
          <w:sz w:val="32"/>
          <w:szCs w:val="30"/>
        </w:rPr>
        <w:t>58</w:t>
      </w:r>
      <w:r w:rsidRPr="00DC5C71">
        <w:rPr>
          <w:rFonts w:ascii="仿宋" w:eastAsia="仿宋" w:hAnsi="仿宋" w:cs="Times New Roman" w:hint="eastAsia"/>
          <w:snapToGrid/>
          <w:color w:val="auto"/>
          <w:kern w:val="2"/>
          <w:sz w:val="32"/>
          <w:szCs w:val="30"/>
        </w:rPr>
        <w:t>%。</w:t>
      </w:r>
      <w:r w:rsidRPr="00DC5C71">
        <w:rPr>
          <w:rFonts w:ascii="仿宋" w:eastAsia="仿宋" w:hAnsi="仿宋" w:cs="Times New Roman" w:hint="eastAsia"/>
          <w:snapToGrid/>
          <w:color w:val="auto"/>
          <w:kern w:val="2"/>
          <w:sz w:val="32"/>
          <w:szCs w:val="30"/>
        </w:rPr>
        <w:br/>
        <w:t xml:space="preserve">   </w:t>
      </w:r>
      <w:r w:rsidR="00C8323D" w:rsidRPr="00DC5C71">
        <w:rPr>
          <w:rFonts w:ascii="仿宋" w:eastAsia="仿宋" w:hAnsi="仿宋" w:cs="Times New Roman" w:hint="eastAsia"/>
          <w:snapToGrid/>
          <w:color w:val="auto"/>
          <w:kern w:val="2"/>
          <w:sz w:val="32"/>
          <w:szCs w:val="30"/>
        </w:rPr>
        <w:t xml:space="preserve"> </w:t>
      </w:r>
      <w:r w:rsidRPr="00DC5C71">
        <w:rPr>
          <w:rFonts w:ascii="仿宋" w:eastAsia="仿宋" w:hAnsi="仿宋" w:cs="Times New Roman" w:hint="eastAsia"/>
          <w:snapToGrid/>
          <w:color w:val="auto"/>
          <w:kern w:val="2"/>
          <w:sz w:val="32"/>
          <w:szCs w:val="30"/>
        </w:rPr>
        <w:t xml:space="preserve">（二）商品和服务支出 </w:t>
      </w:r>
      <w:r w:rsidR="00C8323D" w:rsidRPr="00DC5C71">
        <w:rPr>
          <w:rFonts w:ascii="仿宋" w:eastAsia="仿宋" w:hAnsi="仿宋" w:cs="Times New Roman" w:hint="eastAsia"/>
          <w:snapToGrid/>
          <w:color w:val="auto"/>
          <w:kern w:val="2"/>
          <w:sz w:val="32"/>
          <w:szCs w:val="30"/>
        </w:rPr>
        <w:t>0</w:t>
      </w:r>
      <w:r w:rsidRPr="00DC5C71">
        <w:rPr>
          <w:rFonts w:ascii="仿宋" w:eastAsia="仿宋" w:hAnsi="仿宋" w:cs="Times New Roman" w:hint="eastAsia"/>
          <w:snapToGrid/>
          <w:color w:val="auto"/>
          <w:kern w:val="2"/>
          <w:sz w:val="32"/>
          <w:szCs w:val="30"/>
        </w:rPr>
        <w:t>万元，较</w:t>
      </w:r>
      <w:r w:rsidR="00C8323D" w:rsidRPr="00DC5C71">
        <w:rPr>
          <w:rFonts w:ascii="仿宋" w:eastAsia="仿宋" w:hAnsi="仿宋" w:cs="Times New Roman" w:hint="eastAsia"/>
          <w:snapToGrid/>
          <w:color w:val="auto"/>
          <w:kern w:val="2"/>
          <w:sz w:val="32"/>
          <w:szCs w:val="30"/>
        </w:rPr>
        <w:t xml:space="preserve"> </w:t>
      </w:r>
      <w:r w:rsidRPr="00DC5C71">
        <w:rPr>
          <w:rFonts w:ascii="仿宋" w:eastAsia="仿宋" w:hAnsi="仿宋" w:cs="Times New Roman" w:hint="eastAsia"/>
          <w:snapToGrid/>
          <w:color w:val="auto"/>
          <w:kern w:val="2"/>
          <w:sz w:val="32"/>
          <w:szCs w:val="30"/>
        </w:rPr>
        <w:t>2020年减少</w:t>
      </w:r>
      <w:r w:rsidR="00C8323D" w:rsidRPr="00DC5C71">
        <w:rPr>
          <w:rFonts w:ascii="仿宋" w:eastAsia="仿宋" w:hAnsi="仿宋" w:cs="Times New Roman" w:hint="eastAsia"/>
          <w:snapToGrid/>
          <w:color w:val="auto"/>
          <w:kern w:val="2"/>
          <w:sz w:val="32"/>
          <w:szCs w:val="30"/>
        </w:rPr>
        <w:t>0.09</w:t>
      </w:r>
      <w:r w:rsidRPr="00DC5C71">
        <w:rPr>
          <w:rFonts w:ascii="仿宋" w:eastAsia="仿宋" w:hAnsi="仿宋" w:cs="Times New Roman" w:hint="eastAsia"/>
          <w:snapToGrid/>
          <w:color w:val="auto"/>
          <w:kern w:val="2"/>
          <w:sz w:val="32"/>
          <w:szCs w:val="30"/>
        </w:rPr>
        <w:t>万元，下降</w:t>
      </w:r>
      <w:r w:rsidR="001E3241" w:rsidRPr="00DC5C71">
        <w:rPr>
          <w:rFonts w:ascii="仿宋" w:eastAsia="仿宋" w:hAnsi="仿宋" w:cs="Times New Roman" w:hint="eastAsia"/>
          <w:snapToGrid/>
          <w:color w:val="auto"/>
          <w:kern w:val="2"/>
          <w:sz w:val="32"/>
          <w:szCs w:val="30"/>
        </w:rPr>
        <w:t>100</w:t>
      </w:r>
      <w:r w:rsidRPr="00DC5C71">
        <w:rPr>
          <w:rFonts w:ascii="仿宋" w:eastAsia="仿宋" w:hAnsi="仿宋" w:cs="Times New Roman" w:hint="eastAsia"/>
          <w:snapToGrid/>
          <w:color w:val="auto"/>
          <w:kern w:val="2"/>
          <w:sz w:val="32"/>
          <w:szCs w:val="30"/>
        </w:rPr>
        <w:t xml:space="preserve"> %。</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五、一般公共预算财政拨款“三公”经费支出决算情况说明</w:t>
      </w:r>
    </w:p>
    <w:p w:rsidR="004B49D5" w:rsidRPr="001C1BC5" w:rsidRDefault="00E87DE7" w:rsidP="001C1BC5">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t xml:space="preserve">本部门2021年度一般公共预算财政拨款“三公”经费支出年初预算数为 </w:t>
      </w:r>
      <w:r w:rsidR="001C1BC5">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万元，决算数为</w:t>
      </w:r>
      <w:r w:rsidR="001C1BC5">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万元，</w:t>
      </w:r>
      <w:r w:rsidR="001C1BC5" w:rsidRPr="00265A5C">
        <w:rPr>
          <w:rFonts w:ascii="仿宋" w:eastAsia="仿宋" w:hAnsi="仿宋" w:hint="eastAsia"/>
          <w:sz w:val="32"/>
          <w:szCs w:val="30"/>
        </w:rPr>
        <w:t>决算数较</w:t>
      </w:r>
      <w:r w:rsidR="001C1BC5">
        <w:rPr>
          <w:rFonts w:ascii="仿宋" w:eastAsia="仿宋" w:hAnsi="仿宋" w:hint="eastAsia"/>
          <w:sz w:val="32"/>
          <w:szCs w:val="30"/>
        </w:rPr>
        <w:t>2020</w:t>
      </w:r>
      <w:r w:rsidR="001C1BC5" w:rsidRPr="00265A5C">
        <w:rPr>
          <w:rFonts w:ascii="仿宋" w:eastAsia="仿宋" w:hAnsi="仿宋" w:hint="eastAsia"/>
          <w:sz w:val="32"/>
          <w:szCs w:val="30"/>
        </w:rPr>
        <w:t>年</w:t>
      </w:r>
      <w:r w:rsidR="001C1BC5">
        <w:rPr>
          <w:rFonts w:ascii="仿宋" w:eastAsia="仿宋" w:hAnsi="仿宋" w:hint="eastAsia"/>
          <w:sz w:val="32"/>
          <w:szCs w:val="30"/>
        </w:rPr>
        <w:t>无增减，</w:t>
      </w:r>
      <w:r w:rsidR="001C1BC5" w:rsidRPr="00265A5C">
        <w:rPr>
          <w:rFonts w:ascii="仿宋" w:eastAsia="仿宋" w:hAnsi="仿宋" w:hint="eastAsia"/>
          <w:sz w:val="32"/>
          <w:szCs w:val="30"/>
        </w:rPr>
        <w:t>其中∶</w:t>
      </w:r>
    </w:p>
    <w:p w:rsidR="001C1BC5" w:rsidRPr="002428DB" w:rsidRDefault="00E87DE7" w:rsidP="001C1BC5">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t xml:space="preserve">（一）因公出国（境）支出年初预算数为 </w:t>
      </w:r>
      <w:r w:rsidR="001C1BC5">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万元，决算数为 </w:t>
      </w:r>
      <w:r w:rsidR="001C1BC5">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万元，决算数较</w:t>
      </w:r>
      <w:r w:rsidR="001C1BC5">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2020年</w:t>
      </w:r>
      <w:r w:rsidR="001C1BC5">
        <w:rPr>
          <w:rFonts w:ascii="仿宋" w:eastAsia="仿宋" w:hAnsi="仿宋" w:cs="Times New Roman" w:hint="eastAsia"/>
          <w:snapToGrid/>
          <w:kern w:val="2"/>
          <w:sz w:val="32"/>
          <w:szCs w:val="30"/>
        </w:rPr>
        <w:t>无增减</w:t>
      </w:r>
      <w:r>
        <w:rPr>
          <w:rFonts w:ascii="仿宋" w:eastAsia="仿宋" w:hAnsi="仿宋" w:cs="Times New Roman" w:hint="eastAsia"/>
          <w:snapToGrid/>
          <w:kern w:val="2"/>
          <w:sz w:val="32"/>
          <w:szCs w:val="30"/>
        </w:rPr>
        <w:t>。</w:t>
      </w:r>
      <w:r w:rsidR="001C1BC5" w:rsidRPr="002428DB">
        <w:rPr>
          <w:rFonts w:ascii="仿宋" w:eastAsia="仿宋" w:hAnsi="仿宋" w:hint="eastAsia"/>
          <w:sz w:val="32"/>
          <w:szCs w:val="30"/>
        </w:rPr>
        <w:t>主要原因是：我单位无因公出国（境）费。</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w:t>
      </w:r>
      <w:r w:rsidR="001C1BC5" w:rsidRPr="002428DB">
        <w:rPr>
          <w:rFonts w:ascii="仿宋" w:eastAsia="仿宋" w:hAnsi="仿宋" w:hint="eastAsia"/>
          <w:sz w:val="32"/>
          <w:szCs w:val="30"/>
        </w:rPr>
        <w:t>公务接待费支出年初预算数为</w:t>
      </w:r>
      <w:r w:rsidR="001C1BC5">
        <w:rPr>
          <w:rFonts w:ascii="仿宋" w:eastAsia="仿宋" w:hAnsi="仿宋" w:hint="eastAsia"/>
          <w:sz w:val="32"/>
          <w:szCs w:val="30"/>
        </w:rPr>
        <w:t>0</w:t>
      </w:r>
      <w:r w:rsidR="001C1BC5" w:rsidRPr="002428DB">
        <w:rPr>
          <w:rFonts w:ascii="仿宋" w:eastAsia="仿宋" w:hAnsi="仿宋" w:hint="eastAsia"/>
          <w:sz w:val="32"/>
          <w:szCs w:val="30"/>
        </w:rPr>
        <w:t>万元，决算数为0万元，决算数较</w:t>
      </w:r>
      <w:r w:rsidR="001C1BC5">
        <w:rPr>
          <w:rFonts w:ascii="仿宋" w:eastAsia="仿宋" w:hAnsi="仿宋" w:hint="eastAsia"/>
          <w:sz w:val="32"/>
          <w:szCs w:val="30"/>
        </w:rPr>
        <w:t>2020</w:t>
      </w:r>
      <w:r w:rsidR="001C1BC5" w:rsidRPr="002428DB">
        <w:rPr>
          <w:rFonts w:ascii="仿宋" w:eastAsia="仿宋" w:hAnsi="仿宋" w:hint="eastAsia"/>
          <w:sz w:val="32"/>
          <w:szCs w:val="30"/>
        </w:rPr>
        <w:t>年</w:t>
      </w:r>
      <w:r w:rsidR="001C1BC5">
        <w:rPr>
          <w:rFonts w:ascii="仿宋" w:eastAsia="仿宋" w:hAnsi="仿宋" w:hint="eastAsia"/>
          <w:sz w:val="32"/>
          <w:szCs w:val="30"/>
        </w:rPr>
        <w:t>无增减</w:t>
      </w:r>
      <w:r w:rsidR="001C1BC5" w:rsidRPr="002428DB">
        <w:rPr>
          <w:rFonts w:ascii="仿宋" w:eastAsia="仿宋" w:hAnsi="仿宋" w:hint="eastAsia"/>
          <w:sz w:val="32"/>
          <w:szCs w:val="30"/>
        </w:rPr>
        <w:t>。主要原因是∶我单位严格控制公务接待。</w:t>
      </w:r>
      <w:r w:rsidR="001C1BC5">
        <w:rPr>
          <w:rFonts w:ascii="仿宋" w:eastAsia="仿宋" w:hAnsi="仿宋" w:hint="eastAsia"/>
          <w:sz w:val="32"/>
          <w:szCs w:val="30"/>
        </w:rPr>
        <w:t>全年国内公务接待0批，累计接待 0人次，其中外事接待 0批，累计接待 0人次，主要为∶本年度无公务接待费支出。</w:t>
      </w:r>
    </w:p>
    <w:p w:rsidR="001C1BC5" w:rsidRDefault="00E87DE7" w:rsidP="001C1BC5">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t>（三）</w:t>
      </w:r>
      <w:r w:rsidR="001C1BC5" w:rsidRPr="002428DB">
        <w:rPr>
          <w:rFonts w:ascii="仿宋" w:eastAsia="仿宋" w:hAnsi="仿宋" w:hint="eastAsia"/>
          <w:sz w:val="32"/>
          <w:szCs w:val="30"/>
        </w:rPr>
        <w:t>公务用车购置及运行维护费支出 0万元，其中公务用车购置年初预算数为 0万元，决算数为0 万元，决算数较</w:t>
      </w:r>
      <w:r w:rsidR="00033243">
        <w:rPr>
          <w:rFonts w:ascii="仿宋" w:eastAsia="仿宋" w:hAnsi="仿宋" w:hint="eastAsia"/>
          <w:sz w:val="32"/>
          <w:szCs w:val="30"/>
        </w:rPr>
        <w:t>2020</w:t>
      </w:r>
      <w:r w:rsidR="001C1BC5">
        <w:rPr>
          <w:rFonts w:ascii="仿宋" w:eastAsia="仿宋" w:hAnsi="仿宋" w:hint="eastAsia"/>
          <w:sz w:val="32"/>
          <w:szCs w:val="30"/>
        </w:rPr>
        <w:t>年</w:t>
      </w:r>
      <w:r w:rsidR="001C1BC5" w:rsidRPr="002428DB">
        <w:rPr>
          <w:rFonts w:ascii="仿宋" w:eastAsia="仿宋" w:hAnsi="仿宋" w:hint="eastAsia"/>
          <w:sz w:val="32"/>
          <w:szCs w:val="30"/>
        </w:rPr>
        <w:t>无增减，主要原因是公车改革</w:t>
      </w:r>
      <w:r w:rsidR="001C1BC5">
        <w:rPr>
          <w:rFonts w:ascii="仿宋" w:eastAsia="仿宋" w:hAnsi="仿宋" w:hint="eastAsia"/>
          <w:sz w:val="32"/>
          <w:szCs w:val="30"/>
        </w:rPr>
        <w:t>；</w:t>
      </w:r>
      <w:r w:rsidR="001C1BC5" w:rsidRPr="002428DB">
        <w:rPr>
          <w:rFonts w:ascii="仿宋" w:eastAsia="仿宋" w:hAnsi="仿宋" w:hint="eastAsia"/>
          <w:sz w:val="32"/>
          <w:szCs w:val="30"/>
        </w:rPr>
        <w:t xml:space="preserve">全年购置公务用车0 </w:t>
      </w:r>
      <w:r w:rsidR="001C1BC5">
        <w:rPr>
          <w:rFonts w:ascii="仿宋" w:eastAsia="仿宋" w:hAnsi="仿宋" w:hint="eastAsia"/>
          <w:sz w:val="32"/>
          <w:szCs w:val="30"/>
        </w:rPr>
        <w:t>辆，</w:t>
      </w:r>
      <w:r w:rsidR="001C1BC5" w:rsidRPr="002428DB">
        <w:rPr>
          <w:rFonts w:ascii="仿宋" w:eastAsia="仿宋" w:hAnsi="仿宋" w:hint="eastAsia"/>
          <w:sz w:val="32"/>
          <w:szCs w:val="30"/>
        </w:rPr>
        <w:t xml:space="preserve">决算数较年初预算数无增减，主要原因是∶公车改革;公务用车运行维护费支出年初预算数为 0万元，决算数为0 </w:t>
      </w:r>
      <w:r w:rsidR="001C1BC5" w:rsidRPr="002428DB">
        <w:rPr>
          <w:rFonts w:ascii="仿宋" w:eastAsia="仿宋" w:hAnsi="仿宋" w:hint="eastAsia"/>
          <w:sz w:val="32"/>
          <w:szCs w:val="30"/>
        </w:rPr>
        <w:lastRenderedPageBreak/>
        <w:t>万元，决算数较</w:t>
      </w:r>
      <w:r w:rsidR="00033243">
        <w:rPr>
          <w:rFonts w:ascii="仿宋" w:eastAsia="仿宋" w:hAnsi="仿宋" w:hint="eastAsia"/>
          <w:sz w:val="32"/>
          <w:szCs w:val="30"/>
        </w:rPr>
        <w:t xml:space="preserve"> 2020</w:t>
      </w:r>
      <w:r w:rsidR="001C1BC5" w:rsidRPr="002428DB">
        <w:rPr>
          <w:rFonts w:ascii="仿宋" w:eastAsia="仿宋" w:hAnsi="仿宋" w:hint="eastAsia"/>
          <w:sz w:val="32"/>
          <w:szCs w:val="30"/>
        </w:rPr>
        <w:t>年无增减，主要原因是公车改革</w:t>
      </w:r>
      <w:r w:rsidR="001C1BC5">
        <w:rPr>
          <w:rFonts w:ascii="仿宋" w:eastAsia="仿宋" w:hAnsi="仿宋" w:hint="eastAsia"/>
          <w:sz w:val="32"/>
          <w:szCs w:val="30"/>
        </w:rPr>
        <w:t>；</w:t>
      </w:r>
      <w:r w:rsidR="001C1BC5" w:rsidRPr="002428DB">
        <w:rPr>
          <w:rFonts w:ascii="仿宋" w:eastAsia="仿宋" w:hAnsi="仿宋" w:hint="eastAsia"/>
          <w:sz w:val="32"/>
          <w:szCs w:val="30"/>
        </w:rPr>
        <w:t xml:space="preserve">年末公务用车保有0 </w:t>
      </w:r>
      <w:r w:rsidR="001C1BC5">
        <w:rPr>
          <w:rFonts w:ascii="仿宋" w:eastAsia="仿宋" w:hAnsi="仿宋" w:hint="eastAsia"/>
          <w:sz w:val="32"/>
          <w:szCs w:val="30"/>
        </w:rPr>
        <w:t>辆，</w:t>
      </w:r>
      <w:r w:rsidR="001C1BC5" w:rsidRPr="002428DB">
        <w:rPr>
          <w:rFonts w:ascii="仿宋" w:eastAsia="仿宋" w:hAnsi="仿宋" w:hint="eastAsia"/>
          <w:sz w:val="32"/>
          <w:szCs w:val="30"/>
        </w:rPr>
        <w:t>决算数较年初预算数无增减的主要原因是∶公车改革。</w:t>
      </w:r>
    </w:p>
    <w:p w:rsidR="004B49D5" w:rsidRDefault="00E87DE7" w:rsidP="001C1BC5">
      <w:pPr>
        <w:kinsoku/>
        <w:autoSpaceDE/>
        <w:autoSpaceDN/>
        <w:adjustRightInd/>
        <w:snapToGrid/>
        <w:spacing w:line="560" w:lineRule="exact"/>
        <w:ind w:firstLineChars="200" w:firstLine="60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六、机关运行经费支出情况说明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仿宋"/>
          <w:sz w:val="30"/>
          <w:szCs w:val="30"/>
        </w:rPr>
      </w:pPr>
      <w:r>
        <w:rPr>
          <w:rFonts w:ascii="仿宋" w:eastAsia="仿宋" w:hAnsi="仿宋" w:cs="Times New Roman" w:hint="eastAsia"/>
          <w:snapToGrid/>
          <w:kern w:val="2"/>
          <w:sz w:val="32"/>
          <w:szCs w:val="30"/>
        </w:rPr>
        <w:t xml:space="preserve">本部门 2021年度机关运行经费支出 </w:t>
      </w:r>
      <w:r w:rsidR="00033243">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万元（与部门决算 中行政单位和参照公务员法管理事业单位一般公共预算财政拨款基本支出中公用经费之和保持一致）。</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七、政府采购支出情况说明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 2021年度</w:t>
      </w:r>
      <w:r w:rsidR="00033243">
        <w:rPr>
          <w:rFonts w:ascii="仿宋" w:eastAsia="仿宋" w:hAnsi="仿宋" w:cs="Times New Roman" w:hint="eastAsia"/>
          <w:snapToGrid/>
          <w:kern w:val="2"/>
          <w:sz w:val="32"/>
          <w:szCs w:val="30"/>
        </w:rPr>
        <w:t>无</w:t>
      </w:r>
      <w:r>
        <w:rPr>
          <w:rFonts w:ascii="仿宋" w:eastAsia="仿宋" w:hAnsi="仿宋" w:cs="Times New Roman" w:hint="eastAsia"/>
          <w:snapToGrid/>
          <w:kern w:val="2"/>
          <w:sz w:val="32"/>
          <w:szCs w:val="30"/>
        </w:rPr>
        <w:t>政府采购支出</w:t>
      </w:r>
      <w:r w:rsidR="00033243">
        <w:rPr>
          <w:rFonts w:ascii="仿宋" w:eastAsia="仿宋" w:hAnsi="仿宋" w:cs="Times New Roman" w:hint="eastAsia"/>
          <w:snapToGrid/>
          <w:kern w:val="2"/>
          <w:sz w:val="32"/>
          <w:szCs w:val="30"/>
        </w:rPr>
        <w:t>。</w: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八、国有资产占用情况说明。</w:t>
      </w:r>
    </w:p>
    <w:p w:rsidR="004B49D5" w:rsidRPr="00033243" w:rsidRDefault="00033243" w:rsidP="00033243">
      <w:pPr>
        <w:spacing w:line="560" w:lineRule="exact"/>
        <w:ind w:firstLineChars="200" w:firstLine="640"/>
        <w:rPr>
          <w:rFonts w:ascii="仿宋" w:eastAsia="仿宋" w:hAnsi="仿宋"/>
          <w:sz w:val="32"/>
          <w:szCs w:val="30"/>
        </w:rPr>
      </w:pPr>
      <w:r>
        <w:rPr>
          <w:rFonts w:ascii="仿宋" w:eastAsia="仿宋" w:hAnsi="仿宋" w:hint="eastAsia"/>
          <w:sz w:val="32"/>
          <w:szCs w:val="30"/>
        </w:rPr>
        <w:t>截止2020 年12月31日，</w:t>
      </w:r>
      <w:r w:rsidRPr="0094294D">
        <w:rPr>
          <w:rFonts w:ascii="仿宋" w:eastAsia="仿宋" w:hAnsi="仿宋" w:hint="eastAsia"/>
          <w:sz w:val="32"/>
          <w:szCs w:val="30"/>
        </w:rPr>
        <w:t>本部门共有车辆 0辆。</w:t>
      </w:r>
      <w:r w:rsidR="00B900F8" w:rsidRPr="00B900F8">
        <w:pict>
          <v:shapetype id="_x0000_t202" coordsize="21600,21600" o:spt="202" path="m,l,21600r21600,l21600,xe">
            <v:stroke joinstyle="miter"/>
            <v:path gradientshapeok="t" o:connecttype="rect"/>
          </v:shapetype>
          <v:shape id="TextBox 3" o:spid="_x0000_s1027" type="#_x0000_t202" style="position:absolute;left:0;text-align:left;margin-left:388.8pt;margin-top:550.6pt;width:2.55pt;height:21.85pt;rotation:180;z-index:251722752;mso-position-horizontal-relative:page;mso-position-vertical-relative:page"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o:allowincell="f" filled="f" stroked="f" strokeweight="0">
            <v:textbox inset="0,0,0,0">
              <w:txbxContent>
                <w:p w:rsidR="004B49D5" w:rsidRDefault="00E87DE7">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v:textbox>
            <w10:wrap anchorx="page" anchory="page"/>
          </v:shape>
        </w:pict>
      </w:r>
    </w:p>
    <w:p w:rsidR="004B49D5" w:rsidRDefault="00E87DE7" w:rsidP="00A65C64">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九、预算绩效情况说明</w:t>
      </w:r>
    </w:p>
    <w:p w:rsidR="004B49D5" w:rsidRDefault="00E87DE7" w:rsidP="00A65C64">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（一）绩效管理工作开展情况。</w:t>
      </w:r>
    </w:p>
    <w:p w:rsidR="00033243" w:rsidRPr="00033243" w:rsidRDefault="00033243" w:rsidP="00033243">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sidRPr="00033243">
        <w:rPr>
          <w:rFonts w:ascii="仿宋" w:eastAsia="仿宋" w:hAnsi="仿宋" w:cs="Times New Roman" w:hint="eastAsia"/>
          <w:snapToGrid/>
          <w:kern w:val="2"/>
          <w:sz w:val="32"/>
          <w:szCs w:val="30"/>
        </w:rPr>
        <w:t>根据预算绩效管理要求，我部门组织对2020年度一般公共预算项目支出所有二级项目3个全面开展绩效自评，共涉及资金 135 万元，占一般公共预算项目支出总额的100 %。</w:t>
      </w:r>
    </w:p>
    <w:p w:rsidR="0003440D" w:rsidRDefault="0003440D" w:rsidP="0003440D">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（二）部门决算中项目绩效自评结果（应当将2021年度市级部门决算项目绩效自评综述和《项目支出绩效自评表》进行公开）。</w:t>
      </w:r>
    </w:p>
    <w:p w:rsidR="00625DD2" w:rsidRPr="00625DD2" w:rsidRDefault="00625DD2" w:rsidP="0003440D">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sidRPr="00625DD2">
        <w:rPr>
          <w:rFonts w:ascii="仿宋" w:eastAsia="仿宋" w:hAnsi="仿宋" w:cs="Times New Roman" w:hint="eastAsia"/>
          <w:snapToGrid/>
          <w:kern w:val="2"/>
          <w:sz w:val="32"/>
          <w:szCs w:val="30"/>
        </w:rPr>
        <w:t>项目绩效自评总体综述∶ 根据年初设定的绩效目标，全区副科级以上干部体检经费项目绩效自评得分为94.1 分</w:t>
      </w:r>
      <w:r w:rsidR="0003440D">
        <w:rPr>
          <w:rFonts w:ascii="仿宋" w:eastAsia="仿宋" w:hAnsi="仿宋" w:cs="Times New Roman" w:hint="eastAsia"/>
          <w:snapToGrid/>
          <w:kern w:val="2"/>
          <w:sz w:val="32"/>
          <w:szCs w:val="30"/>
        </w:rPr>
        <w:t>。</w:t>
      </w:r>
      <w:r w:rsidRPr="00625DD2">
        <w:rPr>
          <w:rFonts w:ascii="仿宋" w:eastAsia="仿宋" w:hAnsi="仿宋" w:cs="Times New Roman" w:hint="eastAsia"/>
          <w:snapToGrid/>
          <w:kern w:val="2"/>
          <w:sz w:val="32"/>
          <w:szCs w:val="30"/>
        </w:rPr>
        <w:t>项目全年预算数为30万元，执行数为21.3万元，完成预算的71 %。</w:t>
      </w:r>
    </w:p>
    <w:p w:rsidR="00625DD2" w:rsidRDefault="00E87DE7" w:rsidP="00625DD2">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   </w:t>
      </w:r>
    </w:p>
    <w:p w:rsidR="00625DD2" w:rsidRDefault="00625DD2" w:rsidP="00330B15">
      <w:pPr>
        <w:spacing w:line="500" w:lineRule="exact"/>
        <w:jc w:val="center"/>
        <w:rPr>
          <w:rFonts w:ascii="仿宋" w:eastAsia="仿宋" w:hAnsi="仿宋" w:cs="Times New Roman"/>
          <w:snapToGrid/>
          <w:kern w:val="2"/>
          <w:sz w:val="32"/>
          <w:szCs w:val="30"/>
        </w:rPr>
      </w:pPr>
    </w:p>
    <w:p w:rsidR="00625DD2" w:rsidRDefault="00625DD2" w:rsidP="00DC5C71">
      <w:pPr>
        <w:spacing w:line="500" w:lineRule="exact"/>
        <w:rPr>
          <w:rFonts w:ascii="仿宋" w:eastAsia="仿宋" w:hAnsi="仿宋" w:cs="Times New Roman"/>
          <w:snapToGrid/>
          <w:kern w:val="2"/>
          <w:sz w:val="32"/>
          <w:szCs w:val="30"/>
        </w:rPr>
      </w:pPr>
    </w:p>
    <w:p w:rsidR="00330B15" w:rsidRDefault="00330B15" w:rsidP="00330B15">
      <w:pPr>
        <w:spacing w:line="500" w:lineRule="exact"/>
        <w:jc w:val="center"/>
        <w:rPr>
          <w:rFonts w:ascii="方正小标宋简体" w:eastAsia="方正小标宋简体" w:hAnsi="宋体" w:cs="宋体"/>
          <w:bCs/>
          <w:sz w:val="44"/>
          <w:szCs w:val="44"/>
        </w:rPr>
      </w:pPr>
      <w:r>
        <w:rPr>
          <w:rFonts w:ascii="方正小标宋简体" w:eastAsia="方正小标宋简体" w:hAnsi="宋体" w:cs="宋体" w:hint="eastAsia"/>
          <w:bCs/>
          <w:sz w:val="44"/>
          <w:szCs w:val="44"/>
        </w:rPr>
        <w:t>项目支出绩效自评表</w:t>
      </w:r>
    </w:p>
    <w:p w:rsidR="00330B15" w:rsidRDefault="00330B15" w:rsidP="00330B15">
      <w:pPr>
        <w:spacing w:line="500" w:lineRule="exact"/>
        <w:jc w:val="center"/>
        <w:rPr>
          <w:rFonts w:ascii="方正小标宋简体" w:eastAsia="方正小标宋简体" w:hAnsi="黑体"/>
          <w:sz w:val="32"/>
          <w:szCs w:val="32"/>
        </w:rPr>
      </w:pPr>
      <w:r>
        <w:rPr>
          <w:rFonts w:ascii="黑体" w:eastAsia="黑体" w:hAnsi="宋体" w:cs="宋体" w:hint="eastAsia"/>
        </w:rPr>
        <w:t>（ 2021年度）</w:t>
      </w:r>
    </w:p>
    <w:tbl>
      <w:tblPr>
        <w:tblW w:w="9033" w:type="dxa"/>
        <w:jc w:val="center"/>
        <w:tblLayout w:type="fixed"/>
        <w:tblLook w:val="0000"/>
      </w:tblPr>
      <w:tblGrid>
        <w:gridCol w:w="586"/>
        <w:gridCol w:w="754"/>
        <w:gridCol w:w="1327"/>
        <w:gridCol w:w="726"/>
        <w:gridCol w:w="1265"/>
        <w:gridCol w:w="144"/>
        <w:gridCol w:w="1115"/>
        <w:gridCol w:w="770"/>
        <w:gridCol w:w="336"/>
        <w:gridCol w:w="140"/>
        <w:gridCol w:w="476"/>
        <w:gridCol w:w="98"/>
        <w:gridCol w:w="686"/>
        <w:gridCol w:w="610"/>
      </w:tblGrid>
      <w:tr w:rsidR="00330B15" w:rsidTr="00F46EC6">
        <w:trPr>
          <w:trHeight w:hRule="exact" w:val="302"/>
          <w:jc w:val="center"/>
        </w:trPr>
        <w:tc>
          <w:tcPr>
            <w:tcW w:w="1340" w:type="dxa"/>
            <w:gridSpan w:val="2"/>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项目名称</w:t>
            </w:r>
          </w:p>
        </w:tc>
        <w:tc>
          <w:tcPr>
            <w:tcW w:w="7693" w:type="dxa"/>
            <w:gridSpan w:val="1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A419A9">
              <w:rPr>
                <w:rFonts w:ascii="黑体" w:eastAsia="黑体" w:hAnsi="宋体" w:cs="宋体" w:hint="eastAsia"/>
                <w:sz w:val="20"/>
              </w:rPr>
              <w:t>全区副科级以上干部体检经费</w:t>
            </w:r>
          </w:p>
        </w:tc>
      </w:tr>
      <w:tr w:rsidR="00330B15" w:rsidTr="00F46EC6">
        <w:trPr>
          <w:trHeight w:hRule="exact" w:val="302"/>
          <w:jc w:val="center"/>
        </w:trPr>
        <w:tc>
          <w:tcPr>
            <w:tcW w:w="1340" w:type="dxa"/>
            <w:gridSpan w:val="2"/>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主管部门</w:t>
            </w:r>
          </w:p>
        </w:tc>
        <w:tc>
          <w:tcPr>
            <w:tcW w:w="4577" w:type="dxa"/>
            <w:gridSpan w:val="5"/>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青云谱区卫健委</w:t>
            </w: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实施单位</w:t>
            </w:r>
          </w:p>
        </w:tc>
        <w:tc>
          <w:tcPr>
            <w:tcW w:w="2010" w:type="dxa"/>
            <w:gridSpan w:val="5"/>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区公费医疗办公室</w:t>
            </w:r>
          </w:p>
        </w:tc>
      </w:tr>
      <w:tr w:rsidR="00330B15" w:rsidTr="00F46EC6">
        <w:trPr>
          <w:trHeight w:val="403"/>
          <w:jc w:val="center"/>
        </w:trPr>
        <w:tc>
          <w:tcPr>
            <w:tcW w:w="1340" w:type="dxa"/>
            <w:gridSpan w:val="2"/>
            <w:vMerge w:val="restart"/>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项目资金</w:t>
            </w:r>
            <w:r>
              <w:rPr>
                <w:rFonts w:ascii="黑体" w:eastAsia="黑体" w:hAnsi="宋体" w:cs="宋体" w:hint="eastAsia"/>
                <w:sz w:val="20"/>
              </w:rPr>
              <w:br/>
              <w:t>（万元）</w:t>
            </w:r>
          </w:p>
        </w:tc>
        <w:tc>
          <w:tcPr>
            <w:tcW w:w="2053"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6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rPr>
                <w:rFonts w:ascii="黑体" w:eastAsia="黑体" w:hAnsi="宋体" w:cs="宋体"/>
                <w:sz w:val="20"/>
              </w:rPr>
            </w:pPr>
            <w:r>
              <w:rPr>
                <w:rFonts w:ascii="黑体" w:eastAsia="黑体" w:hAnsi="宋体" w:cs="宋体" w:hint="eastAsia"/>
                <w:sz w:val="20"/>
              </w:rPr>
              <w:t>年初预算数</w:t>
            </w:r>
          </w:p>
        </w:tc>
        <w:tc>
          <w:tcPr>
            <w:tcW w:w="1259"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全年预算数</w:t>
            </w: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全年执行数</w:t>
            </w:r>
          </w:p>
        </w:tc>
        <w:tc>
          <w:tcPr>
            <w:tcW w:w="61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分值</w:t>
            </w:r>
          </w:p>
        </w:tc>
        <w:tc>
          <w:tcPr>
            <w:tcW w:w="784"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执行率</w:t>
            </w:r>
          </w:p>
        </w:tc>
        <w:tc>
          <w:tcPr>
            <w:tcW w:w="61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得分</w:t>
            </w:r>
          </w:p>
        </w:tc>
      </w:tr>
      <w:tr w:rsidR="00330B15" w:rsidTr="00F46EC6">
        <w:trPr>
          <w:trHeight w:hRule="exact" w:val="302"/>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rPr>
                <w:rFonts w:ascii="黑体" w:eastAsia="黑体" w:hAnsi="宋体" w:cs="宋体"/>
                <w:sz w:val="20"/>
              </w:rPr>
            </w:pPr>
            <w:r>
              <w:rPr>
                <w:rFonts w:ascii="黑体" w:eastAsia="黑体" w:hAnsi="宋体" w:cs="宋体" w:hint="eastAsia"/>
                <w:sz w:val="20"/>
              </w:rPr>
              <w:t>年度资金总额</w:t>
            </w:r>
          </w:p>
        </w:tc>
        <w:tc>
          <w:tcPr>
            <w:tcW w:w="126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30</w:t>
            </w:r>
          </w:p>
        </w:tc>
        <w:tc>
          <w:tcPr>
            <w:tcW w:w="1259"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30</w:t>
            </w: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21.3</w:t>
            </w:r>
          </w:p>
        </w:tc>
        <w:tc>
          <w:tcPr>
            <w:tcW w:w="61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w:t>
            </w:r>
          </w:p>
        </w:tc>
        <w:tc>
          <w:tcPr>
            <w:tcW w:w="784"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71%</w:t>
            </w:r>
          </w:p>
        </w:tc>
        <w:tc>
          <w:tcPr>
            <w:tcW w:w="61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7.1</w:t>
            </w:r>
          </w:p>
        </w:tc>
      </w:tr>
      <w:tr w:rsidR="00330B15" w:rsidTr="00F46EC6">
        <w:trPr>
          <w:trHeight w:val="291"/>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其中：当年财政拨款</w:t>
            </w:r>
          </w:p>
        </w:tc>
        <w:tc>
          <w:tcPr>
            <w:tcW w:w="126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330B15" w:rsidTr="00F46EC6">
        <w:trPr>
          <w:trHeight w:val="277"/>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 xml:space="preserve">      上年结转资金</w:t>
            </w:r>
          </w:p>
        </w:tc>
        <w:tc>
          <w:tcPr>
            <w:tcW w:w="126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330B15" w:rsidTr="00F46EC6">
        <w:trPr>
          <w:trHeight w:hRule="exact" w:val="302"/>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 xml:space="preserve">  其他资金</w:t>
            </w:r>
          </w:p>
        </w:tc>
        <w:tc>
          <w:tcPr>
            <w:tcW w:w="126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330B15" w:rsidTr="00F46EC6">
        <w:trPr>
          <w:trHeight w:hRule="exact" w:val="302"/>
          <w:jc w:val="center"/>
        </w:trPr>
        <w:tc>
          <w:tcPr>
            <w:tcW w:w="586" w:type="dxa"/>
            <w:vMerge w:val="restart"/>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年度总体目标</w:t>
            </w:r>
          </w:p>
        </w:tc>
        <w:tc>
          <w:tcPr>
            <w:tcW w:w="5331" w:type="dxa"/>
            <w:gridSpan w:val="6"/>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预期目标</w:t>
            </w:r>
          </w:p>
        </w:tc>
        <w:tc>
          <w:tcPr>
            <w:tcW w:w="3116" w:type="dxa"/>
            <w:gridSpan w:val="7"/>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实际完成情况</w:t>
            </w:r>
          </w:p>
        </w:tc>
      </w:tr>
      <w:tr w:rsidR="00330B15" w:rsidTr="00F46EC6">
        <w:trPr>
          <w:trHeight w:hRule="exact" w:val="604"/>
          <w:jc w:val="center"/>
        </w:trPr>
        <w:tc>
          <w:tcPr>
            <w:tcW w:w="586"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5331" w:type="dxa"/>
            <w:gridSpan w:val="6"/>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A419A9">
              <w:rPr>
                <w:rFonts w:ascii="黑体" w:eastAsia="黑体" w:hAnsi="宋体" w:cs="宋体" w:hint="eastAsia"/>
                <w:sz w:val="20"/>
              </w:rPr>
              <w:t>全区副科级（含）以上干部开展健康体检工作</w:t>
            </w:r>
          </w:p>
        </w:tc>
        <w:tc>
          <w:tcPr>
            <w:tcW w:w="3116" w:type="dxa"/>
            <w:gridSpan w:val="7"/>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完成</w:t>
            </w:r>
          </w:p>
        </w:tc>
      </w:tr>
      <w:tr w:rsidR="00330B15" w:rsidTr="00F46EC6">
        <w:trPr>
          <w:trHeight w:hRule="exact" w:val="735"/>
          <w:jc w:val="center"/>
        </w:trPr>
        <w:tc>
          <w:tcPr>
            <w:tcW w:w="586" w:type="dxa"/>
            <w:vMerge w:val="restart"/>
            <w:tcBorders>
              <w:top w:val="nil"/>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绩</w:t>
            </w:r>
            <w:r>
              <w:rPr>
                <w:rFonts w:ascii="黑体" w:eastAsia="黑体" w:hAnsi="宋体" w:cs="宋体" w:hint="eastAsia"/>
                <w:sz w:val="20"/>
              </w:rPr>
              <w:br/>
              <w:t>效</w:t>
            </w:r>
            <w:r>
              <w:rPr>
                <w:rFonts w:ascii="黑体" w:eastAsia="黑体" w:hAnsi="宋体" w:cs="宋体" w:hint="eastAsia"/>
                <w:sz w:val="20"/>
              </w:rPr>
              <w:br/>
              <w:t>指</w:t>
            </w:r>
            <w:r>
              <w:rPr>
                <w:rFonts w:ascii="黑体" w:eastAsia="黑体" w:hAnsi="宋体" w:cs="宋体" w:hint="eastAsia"/>
                <w:sz w:val="20"/>
              </w:rPr>
              <w:br/>
              <w:t>标</w:t>
            </w:r>
          </w:p>
        </w:tc>
        <w:tc>
          <w:tcPr>
            <w:tcW w:w="754"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一级</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1327"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二级指标</w:t>
            </w:r>
          </w:p>
        </w:tc>
        <w:tc>
          <w:tcPr>
            <w:tcW w:w="2135" w:type="dxa"/>
            <w:gridSpan w:val="3"/>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三级指标</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年度</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指标值</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实际</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完成值</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分值</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得分</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偏差原因分析及改进措施</w:t>
            </w:r>
          </w:p>
        </w:tc>
      </w:tr>
      <w:tr w:rsidR="00330B15" w:rsidTr="00F46EC6">
        <w:trPr>
          <w:trHeight w:hRule="exact" w:val="746"/>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val="restart"/>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产出</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(50分）</w:t>
            </w: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数量指标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（20分）</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r>
              <w:rPr>
                <w:rFonts w:ascii="黑体" w:eastAsia="黑体" w:hAnsi="宋体" w:cs="宋体" w:hint="eastAsia"/>
              </w:rPr>
              <w:t>每年开展一次体检</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3546F8">
              <w:rPr>
                <w:rFonts w:ascii="黑体" w:eastAsia="黑体" w:hAnsi="宋体" w:cs="宋体" w:hint="eastAsia"/>
                <w:sz w:val="20"/>
              </w:rPr>
              <w:t>100%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20</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20</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828"/>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质量指标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（15分）</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r w:rsidRPr="00C4151A">
              <w:rPr>
                <w:rFonts w:ascii="黑体" w:eastAsia="黑体" w:hAnsi="宋体" w:cs="宋体" w:hint="eastAsia"/>
                <w:sz w:val="20"/>
              </w:rPr>
              <w:t>副科级以上干部对免费体检知晓率</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15</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15</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84"/>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时效指标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（5分）</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指标1：年底前完成</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605"/>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成本指标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（10分）</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r w:rsidRPr="00FB06B3">
              <w:rPr>
                <w:rFonts w:ascii="黑体" w:eastAsia="黑体" w:hAnsi="宋体" w:cs="宋体" w:hint="eastAsia"/>
              </w:rPr>
              <w:t>每年预算范围30万内支出</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firstLineChars="50" w:firstLine="100"/>
              <w:rPr>
                <w:rFonts w:ascii="黑体" w:eastAsia="黑体" w:hAnsi="宋体" w:cs="宋体"/>
                <w:sz w:val="20"/>
              </w:rPr>
            </w:pPr>
            <w:r>
              <w:rPr>
                <w:rFonts w:ascii="黑体" w:eastAsia="黑体" w:hAnsi="宋体" w:cs="宋体" w:hint="eastAsia"/>
                <w:sz w:val="20"/>
              </w:rPr>
              <w:t>10</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30"/>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val="restart"/>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效益</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(30分）</w:t>
            </w: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经济效益</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96"/>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社会效益</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黑体"/>
                <w:sz w:val="20"/>
              </w:rPr>
            </w:pPr>
            <w:r w:rsidRPr="006B7571">
              <w:rPr>
                <w:rFonts w:ascii="黑体" w:eastAsia="黑体" w:hAnsi="黑体" w:hint="eastAsia"/>
                <w:sz w:val="20"/>
              </w:rPr>
              <w:t>指标1：</w:t>
            </w:r>
            <w:r>
              <w:rPr>
                <w:rFonts w:ascii="黑体" w:eastAsia="黑体" w:hAnsi="宋体" w:cs="宋体" w:hint="eastAsia"/>
              </w:rPr>
              <w:t>对干部的健康监测</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3546F8">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3546F8">
              <w:rPr>
                <w:rFonts w:ascii="黑体" w:eastAsia="黑体" w:hAnsi="宋体" w:cs="宋体" w:hint="eastAsia"/>
                <w:sz w:val="20"/>
              </w:rPr>
              <w:t>90%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30</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27</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46"/>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生态效益</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54"/>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可持续影响指标</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宋体" w:cs="宋体"/>
                <w:sz w:val="20"/>
              </w:rPr>
            </w:pPr>
            <w:r w:rsidRPr="006B7571">
              <w:rPr>
                <w:rFonts w:ascii="黑体" w:eastAsia="黑体" w:hAnsi="宋体" w:cs="宋体" w:hint="eastAsia"/>
                <w:sz w:val="20"/>
              </w:rPr>
              <w:t>指标1：</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946"/>
          <w:jc w:val="center"/>
        </w:trPr>
        <w:tc>
          <w:tcPr>
            <w:tcW w:w="586" w:type="dxa"/>
            <w:vMerge/>
            <w:tcBorders>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c>
          <w:tcPr>
            <w:tcW w:w="754" w:type="dxa"/>
            <w:tcBorders>
              <w:top w:val="nil"/>
              <w:left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满意度</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(10分）</w:t>
            </w:r>
          </w:p>
        </w:tc>
        <w:tc>
          <w:tcPr>
            <w:tcW w:w="1327" w:type="dxa"/>
            <w:tcBorders>
              <w:top w:val="nil"/>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服务对象满意度指标（10分）</w:t>
            </w:r>
          </w:p>
        </w:tc>
        <w:tc>
          <w:tcPr>
            <w:tcW w:w="2135" w:type="dxa"/>
            <w:gridSpan w:val="3"/>
            <w:tcBorders>
              <w:top w:val="single" w:sz="4" w:space="0" w:color="auto"/>
              <w:left w:val="nil"/>
              <w:bottom w:val="single" w:sz="4" w:space="0" w:color="auto"/>
              <w:right w:val="single" w:sz="4" w:space="0" w:color="auto"/>
            </w:tcBorders>
            <w:vAlign w:val="center"/>
          </w:tcPr>
          <w:p w:rsidR="00330B15" w:rsidRPr="006B7571" w:rsidRDefault="00330B15" w:rsidP="00F46EC6">
            <w:pPr>
              <w:spacing w:line="240" w:lineRule="exact"/>
              <w:ind w:leftChars="-30" w:left="-63" w:rightChars="-30" w:right="-63"/>
              <w:rPr>
                <w:rFonts w:ascii="黑体" w:eastAsia="黑体" w:hAnsi="黑体"/>
                <w:sz w:val="20"/>
              </w:rPr>
            </w:pPr>
            <w:r w:rsidRPr="006B7571">
              <w:rPr>
                <w:rFonts w:ascii="黑体" w:eastAsia="黑体" w:hAnsi="黑体" w:hint="eastAsia"/>
                <w:sz w:val="20"/>
              </w:rPr>
              <w:t>指标1：</w:t>
            </w:r>
            <w:r>
              <w:rPr>
                <w:rFonts w:ascii="黑体" w:eastAsia="黑体" w:hAnsi="宋体" w:cs="宋体" w:hint="eastAsia"/>
              </w:rPr>
              <w:t>副科干部对工作满意度</w:t>
            </w:r>
          </w:p>
        </w:tc>
        <w:tc>
          <w:tcPr>
            <w:tcW w:w="1115"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3546F8">
              <w:rPr>
                <w:rFonts w:ascii="黑体" w:eastAsia="黑体" w:hAnsi="宋体" w:cs="宋体" w:hint="eastAsia"/>
                <w:sz w:val="20"/>
              </w:rPr>
              <w:t>100%</w:t>
            </w:r>
          </w:p>
        </w:tc>
        <w:tc>
          <w:tcPr>
            <w:tcW w:w="770" w:type="dxa"/>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sidRPr="003546F8">
              <w:rPr>
                <w:rFonts w:ascii="黑体" w:eastAsia="黑体" w:hAnsi="宋体" w:cs="宋体" w:hint="eastAsia"/>
                <w:sz w:val="20"/>
              </w:rPr>
              <w:t>100%</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r w:rsidR="00330B15" w:rsidTr="00F46EC6">
        <w:trPr>
          <w:trHeight w:hRule="exact" w:val="562"/>
          <w:jc w:val="center"/>
        </w:trPr>
        <w:tc>
          <w:tcPr>
            <w:tcW w:w="6687" w:type="dxa"/>
            <w:gridSpan w:val="8"/>
            <w:tcBorders>
              <w:top w:val="single" w:sz="4" w:space="0" w:color="auto"/>
              <w:left w:val="single" w:sz="4" w:space="0" w:color="auto"/>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总分</w:t>
            </w:r>
          </w:p>
        </w:tc>
        <w:tc>
          <w:tcPr>
            <w:tcW w:w="476"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574" w:type="dxa"/>
            <w:gridSpan w:val="2"/>
            <w:tcBorders>
              <w:top w:val="nil"/>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94.1</w:t>
            </w:r>
          </w:p>
        </w:tc>
        <w:tc>
          <w:tcPr>
            <w:tcW w:w="1296" w:type="dxa"/>
            <w:gridSpan w:val="2"/>
            <w:tcBorders>
              <w:top w:val="single" w:sz="4" w:space="0" w:color="auto"/>
              <w:left w:val="nil"/>
              <w:bottom w:val="single" w:sz="4" w:space="0" w:color="auto"/>
              <w:right w:val="single" w:sz="4" w:space="0" w:color="auto"/>
            </w:tcBorders>
            <w:vAlign w:val="center"/>
          </w:tcPr>
          <w:p w:rsidR="00330B15" w:rsidRDefault="00330B15" w:rsidP="00F46EC6">
            <w:pPr>
              <w:spacing w:line="240" w:lineRule="exact"/>
              <w:ind w:leftChars="-30" w:left="-63" w:rightChars="-30" w:right="-63"/>
              <w:jc w:val="center"/>
              <w:rPr>
                <w:rFonts w:ascii="黑体" w:eastAsia="黑体" w:hAnsi="宋体" w:cs="宋体"/>
                <w:sz w:val="20"/>
              </w:rPr>
            </w:pPr>
          </w:p>
        </w:tc>
      </w:tr>
    </w:tbl>
    <w:p w:rsidR="00330B15" w:rsidRDefault="00330B15" w:rsidP="00330B15">
      <w:pPr>
        <w:spacing w:line="400" w:lineRule="exact"/>
        <w:rPr>
          <w:rFonts w:ascii="黑体" w:eastAsia="黑体" w:hAnsi="黑体" w:cs="黑体"/>
          <w:sz w:val="36"/>
          <w:szCs w:val="36"/>
        </w:rPr>
      </w:pPr>
    </w:p>
    <w:p w:rsidR="00330B15" w:rsidRDefault="00330B15" w:rsidP="00330B15">
      <w:pPr>
        <w:spacing w:line="560" w:lineRule="exact"/>
        <w:ind w:firstLineChars="200" w:firstLine="640"/>
        <w:rPr>
          <w:rFonts w:ascii="仿宋" w:eastAsia="仿宋" w:hAnsi="仿宋"/>
          <w:sz w:val="32"/>
          <w:szCs w:val="30"/>
        </w:rPr>
      </w:pPr>
    </w:p>
    <w:p w:rsidR="00330B15" w:rsidRDefault="00330B15" w:rsidP="00330B15">
      <w:pPr>
        <w:spacing w:line="560" w:lineRule="exact"/>
        <w:ind w:firstLineChars="200" w:firstLine="640"/>
        <w:rPr>
          <w:rFonts w:ascii="仿宋" w:eastAsia="仿宋" w:hAnsi="仿宋"/>
          <w:sz w:val="32"/>
          <w:szCs w:val="30"/>
        </w:rPr>
      </w:pPr>
    </w:p>
    <w:p w:rsidR="00625DD2" w:rsidRDefault="00625DD2" w:rsidP="00A65C64">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4B49D5" w:rsidRDefault="00E87DE7" w:rsidP="00A65C64">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第四部分 名词解释</w:t>
      </w:r>
    </w:p>
    <w:p w:rsidR="004B49D5" w:rsidRDefault="004B49D5" w:rsidP="00A65C64">
      <w:pPr>
        <w:spacing w:line="560" w:lineRule="exact"/>
      </w:pPr>
    </w:p>
    <w:p w:rsidR="00625DD2" w:rsidRPr="00633C3D" w:rsidRDefault="00625DD2" w:rsidP="00625DD2">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1、一般公共服务支出反映政府提供一般公共服务的支出。</w:t>
      </w:r>
      <w:r w:rsidRPr="00633C3D">
        <w:rPr>
          <w:rFonts w:ascii="仿宋_GB2312" w:eastAsia="仿宋_GB2312" w:hAnsi="仿宋" w:cs="仿宋_GB2312" w:hint="eastAsia"/>
          <w:sz w:val="32"/>
          <w:szCs w:val="32"/>
        </w:rPr>
        <w:br/>
        <w:t>2、社会保障和就业支出反映政府在社会保障与就业方面的支出。</w:t>
      </w:r>
      <w:r w:rsidRPr="00633C3D">
        <w:rPr>
          <w:rFonts w:ascii="仿宋_GB2312" w:eastAsia="仿宋_GB2312" w:hAnsi="仿宋" w:cs="仿宋_GB2312" w:hint="eastAsia"/>
          <w:sz w:val="32"/>
          <w:szCs w:val="32"/>
        </w:rPr>
        <w:br/>
        <w:t>3、住房保障支出集中反映政府用于住房方面的支出。</w:t>
      </w:r>
      <w:r w:rsidRPr="00633C3D">
        <w:rPr>
          <w:rFonts w:ascii="仿宋_GB2312" w:eastAsia="仿宋_GB2312" w:hAnsi="仿宋" w:cs="仿宋_GB2312" w:hint="eastAsia"/>
          <w:sz w:val="32"/>
          <w:szCs w:val="32"/>
        </w:rPr>
        <w:br/>
        <w:t>4、卫生健康支出反映政府用于卫生健康事业方面的支出。</w:t>
      </w:r>
      <w:r w:rsidRPr="00633C3D">
        <w:rPr>
          <w:rFonts w:ascii="仿宋_GB2312" w:eastAsia="仿宋_GB2312" w:hAnsi="仿宋" w:cs="仿宋_GB2312" w:hint="eastAsia"/>
          <w:sz w:val="32"/>
          <w:szCs w:val="32"/>
        </w:rPr>
        <w:br/>
        <w:t>5、资源勘探信息等支出反映用于资源勘探、制造业、建筑业、工业信息等方面支出。</w:t>
      </w:r>
      <w:r w:rsidRPr="00633C3D">
        <w:rPr>
          <w:rFonts w:ascii="仿宋_GB2312" w:eastAsia="仿宋_GB2312" w:hAnsi="仿宋" w:cs="仿宋_GB2312" w:hint="eastAsia"/>
          <w:sz w:val="32"/>
          <w:szCs w:val="32"/>
        </w:rPr>
        <w:br/>
        <w:t>6、工资福利支出反映单位开支的在职职工和编制外长期聘用人员的各类劳动报酬，以及为上述人员缴纳的各项社会保险费等。</w:t>
      </w:r>
      <w:r w:rsidRPr="00633C3D">
        <w:rPr>
          <w:rFonts w:ascii="仿宋_GB2312" w:eastAsia="仿宋_GB2312" w:hAnsi="仿宋" w:cs="仿宋_GB2312" w:hint="eastAsia"/>
          <w:sz w:val="32"/>
          <w:szCs w:val="32"/>
        </w:rPr>
        <w:br/>
        <w:t>7、商品和服务支出反映单位购买商品和服务支出。（不包括用于购置固定资产的支出、战略性和应急储备支出，但军事方面的耐用消费品和设备的购置费、军事性建设费以及军事建筑物的购置费等在本科目中反映）。</w:t>
      </w:r>
      <w:r w:rsidRPr="00633C3D">
        <w:rPr>
          <w:rFonts w:ascii="仿宋_GB2312" w:eastAsia="仿宋_GB2312" w:hAnsi="仿宋" w:cs="仿宋_GB2312" w:hint="eastAsia"/>
          <w:sz w:val="32"/>
          <w:szCs w:val="32"/>
        </w:rPr>
        <w:br/>
        <w:t>8、对个人和家庭的补助反映政府用于对个人和家庭的补助支出</w:t>
      </w:r>
      <w:r w:rsidRPr="00633C3D">
        <w:rPr>
          <w:rFonts w:ascii="仿宋_GB2312" w:eastAsia="仿宋_GB2312" w:hAnsi="仿宋" w:cs="仿宋_GB2312" w:hint="eastAsia"/>
          <w:sz w:val="32"/>
          <w:szCs w:val="32"/>
        </w:rPr>
        <w:br/>
        <w:t>9、“三公”经费：指使用一般公共预算财政拨款安排的因公出国(境)费、公务用车购置及运行维护费和公务接待费。其中，因公出国(境)费用反映单位公务出国(境)的国际旅费、国外城市间交通费、住宿费、伙食费、培训费、公杂费等支出；公务用车购置及运行维护费反映单位公务用车车辆购置支出(含车辆购置税)及租用费、燃料费、维修费、过桥过</w:t>
      </w:r>
      <w:r w:rsidRPr="00633C3D">
        <w:rPr>
          <w:rFonts w:ascii="仿宋_GB2312" w:eastAsia="仿宋_GB2312" w:hAnsi="仿宋" w:cs="仿宋_GB2312" w:hint="eastAsia"/>
          <w:sz w:val="32"/>
          <w:szCs w:val="32"/>
        </w:rPr>
        <w:lastRenderedPageBreak/>
        <w:t>路费、保险费、安全奖励费用等支出；公务接待费反映单位按规定开支的各类公务接待(含外宾接待)费用。</w:t>
      </w:r>
    </w:p>
    <w:p w:rsidR="00625DD2" w:rsidRPr="00633C3D" w:rsidRDefault="00625DD2" w:rsidP="00625DD2">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10、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4B49D5" w:rsidRPr="00625DD2" w:rsidRDefault="004B49D5" w:rsidP="00A65C64">
      <w:pPr>
        <w:spacing w:line="560" w:lineRule="exact"/>
      </w:pPr>
    </w:p>
    <w:sectPr w:rsidR="004B49D5" w:rsidRPr="00625DD2" w:rsidSect="004B49D5">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5E7" w:rsidRDefault="009A35E7">
      <w:r>
        <w:separator/>
      </w:r>
    </w:p>
  </w:endnote>
  <w:endnote w:type="continuationSeparator" w:id="1">
    <w:p w:rsidR="009A35E7" w:rsidRDefault="009A35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D5" w:rsidRDefault="00E87DE7">
    <w:pPr>
      <w:spacing w:line="129" w:lineRule="exact"/>
      <w:ind w:firstLine="229"/>
      <w:rPr>
        <w:sz w:val="18"/>
        <w:szCs w:val="18"/>
      </w:rPr>
    </w:pPr>
    <w:r>
      <w:rPr>
        <w:spacing w:val="-2"/>
        <w:position w:val="-3"/>
        <w:sz w:val="18"/>
        <w:szCs w:val="18"/>
      </w:rPr>
      <w:t>—</w:t>
    </w:r>
    <w:r>
      <w:rPr>
        <w:spacing w:val="-7"/>
        <w:position w:val="-3"/>
        <w:sz w:val="18"/>
        <w:szCs w:val="18"/>
      </w:rPr>
      <w:t xml:space="preserve"> </w:t>
    </w:r>
    <w:r>
      <w:rPr>
        <w:spacing w:val="-2"/>
        <w:position w:val="-3"/>
        <w:sz w:val="18"/>
        <w:szCs w:val="18"/>
      </w:rPr>
      <w:t>2</w:t>
    </w:r>
    <w:r>
      <w:rPr>
        <w:spacing w:val="-18"/>
        <w:position w:val="-3"/>
        <w:sz w:val="18"/>
        <w:szCs w:val="18"/>
      </w:rPr>
      <w:t xml:space="preserve"> </w:t>
    </w:r>
    <w:r>
      <w:rPr>
        <w:spacing w:val="-2"/>
        <w:position w:val="-3"/>
        <w:sz w:val="18"/>
        <w:szCs w:val="1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D5" w:rsidRDefault="00E87DE7">
    <w:pPr>
      <w:spacing w:line="116" w:lineRule="exact"/>
      <w:ind w:firstLine="8033"/>
      <w:rPr>
        <w:sz w:val="16"/>
        <w:szCs w:val="16"/>
      </w:rPr>
    </w:pPr>
    <w:r>
      <w:rPr>
        <w:spacing w:val="-3"/>
        <w:position w:val="-2"/>
        <w:sz w:val="16"/>
        <w:szCs w:val="16"/>
      </w:rPr>
      <w:t>—</w:t>
    </w:r>
    <w:r>
      <w:rPr>
        <w:spacing w:val="10"/>
        <w:position w:val="-2"/>
        <w:sz w:val="16"/>
        <w:szCs w:val="16"/>
      </w:rPr>
      <w:t xml:space="preserve"> </w:t>
    </w:r>
    <w:r>
      <w:rPr>
        <w:spacing w:val="-3"/>
        <w:position w:val="-2"/>
        <w:sz w:val="16"/>
        <w:szCs w:val="16"/>
      </w:rPr>
      <w:t>3</w:t>
    </w:r>
    <w:r>
      <w:rPr>
        <w:spacing w:val="1"/>
        <w:position w:val="-2"/>
        <w:sz w:val="16"/>
        <w:szCs w:val="16"/>
      </w:rPr>
      <w:t xml:space="preserve"> </w:t>
    </w:r>
    <w:r>
      <w:rPr>
        <w:spacing w:val="-3"/>
        <w:position w:val="-2"/>
        <w:sz w:val="16"/>
        <w:szCs w:val="16"/>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D5" w:rsidRDefault="00E87DE7">
    <w:pPr>
      <w:spacing w:line="116" w:lineRule="exact"/>
      <w:ind w:firstLine="7950"/>
      <w:rPr>
        <w:sz w:val="16"/>
        <w:szCs w:val="16"/>
      </w:rPr>
    </w:pPr>
    <w:r>
      <w:rPr>
        <w:spacing w:val="-5"/>
        <w:position w:val="-2"/>
        <w:sz w:val="16"/>
        <w:szCs w:val="16"/>
      </w:rPr>
      <w:t>—</w:t>
    </w:r>
    <w:r>
      <w:rPr>
        <w:spacing w:val="20"/>
        <w:position w:val="-2"/>
        <w:sz w:val="16"/>
        <w:szCs w:val="16"/>
      </w:rPr>
      <w:t xml:space="preserve"> </w:t>
    </w:r>
    <w:r>
      <w:rPr>
        <w:spacing w:val="-5"/>
        <w:position w:val="-2"/>
        <w:sz w:val="16"/>
        <w:szCs w:val="16"/>
      </w:rPr>
      <w:t>13</w:t>
    </w:r>
    <w:r>
      <w:rPr>
        <w:spacing w:val="14"/>
        <w:position w:val="-2"/>
        <w:sz w:val="16"/>
        <w:szCs w:val="16"/>
      </w:rPr>
      <w:t xml:space="preserve">  </w:t>
    </w:r>
    <w:r>
      <w:rPr>
        <w:spacing w:val="-5"/>
        <w:position w:val="-2"/>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5E7" w:rsidRDefault="009A35E7">
      <w:r>
        <w:separator/>
      </w:r>
    </w:p>
  </w:footnote>
  <w:footnote w:type="continuationSeparator" w:id="1">
    <w:p w:rsidR="009A35E7" w:rsidRDefault="009A35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FkNGQxNzY0MmVkNzIzZTM5ODRkZjQ5MTJjOWNjZDkifQ=="/>
  </w:docVars>
  <w:rsids>
    <w:rsidRoot w:val="39096735"/>
    <w:rsid w:val="00000C16"/>
    <w:rsid w:val="00033243"/>
    <w:rsid w:val="0003440D"/>
    <w:rsid w:val="00130501"/>
    <w:rsid w:val="001C1BC5"/>
    <w:rsid w:val="001E3241"/>
    <w:rsid w:val="00243FE8"/>
    <w:rsid w:val="002510E7"/>
    <w:rsid w:val="00330B15"/>
    <w:rsid w:val="003329B3"/>
    <w:rsid w:val="003546F8"/>
    <w:rsid w:val="00390B89"/>
    <w:rsid w:val="003F10B3"/>
    <w:rsid w:val="00404254"/>
    <w:rsid w:val="004064F6"/>
    <w:rsid w:val="004818FF"/>
    <w:rsid w:val="004B49D5"/>
    <w:rsid w:val="005041C7"/>
    <w:rsid w:val="005F3A0A"/>
    <w:rsid w:val="00625DD2"/>
    <w:rsid w:val="00655A24"/>
    <w:rsid w:val="00867EEF"/>
    <w:rsid w:val="009A35E7"/>
    <w:rsid w:val="00A65C64"/>
    <w:rsid w:val="00B4584C"/>
    <w:rsid w:val="00B900F8"/>
    <w:rsid w:val="00C8323D"/>
    <w:rsid w:val="00CF7B07"/>
    <w:rsid w:val="00D244A9"/>
    <w:rsid w:val="00DC5C71"/>
    <w:rsid w:val="00E87DE7"/>
    <w:rsid w:val="08D65032"/>
    <w:rsid w:val="104B26BB"/>
    <w:rsid w:val="1A6C71E2"/>
    <w:rsid w:val="21932A3C"/>
    <w:rsid w:val="223700F7"/>
    <w:rsid w:val="2C147790"/>
    <w:rsid w:val="39096735"/>
    <w:rsid w:val="408B24EB"/>
    <w:rsid w:val="4E48180D"/>
    <w:rsid w:val="553B5262"/>
    <w:rsid w:val="66F4382B"/>
    <w:rsid w:val="67665232"/>
    <w:rsid w:val="6D6709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4B49D5"/>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4B49D5"/>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rsid w:val="004B49D5"/>
    <w:tblPr>
      <w:tblCellMar>
        <w:top w:w="0" w:type="dxa"/>
        <w:left w:w="0" w:type="dxa"/>
        <w:bottom w:w="0" w:type="dxa"/>
        <w:right w:w="0" w:type="dxa"/>
      </w:tblCellMar>
    </w:tblPr>
  </w:style>
  <w:style w:type="paragraph" w:styleId="a4">
    <w:name w:val="footer"/>
    <w:basedOn w:val="a"/>
    <w:link w:val="Char"/>
    <w:rsid w:val="004818FF"/>
    <w:pPr>
      <w:tabs>
        <w:tab w:val="center" w:pos="4153"/>
        <w:tab w:val="right" w:pos="8306"/>
      </w:tabs>
    </w:pPr>
    <w:rPr>
      <w:sz w:val="18"/>
      <w:szCs w:val="18"/>
    </w:rPr>
  </w:style>
  <w:style w:type="character" w:customStyle="1" w:styleId="Char">
    <w:name w:val="页脚 Char"/>
    <w:basedOn w:val="a0"/>
    <w:link w:val="a4"/>
    <w:rsid w:val="004818FF"/>
    <w:rPr>
      <w:rFonts w:ascii="Arial" w:eastAsia="Arial" w:hAnsi="Arial" w:cs="Arial"/>
      <w:snapToGrid w:val="0"/>
      <w:color w:val="000000"/>
      <w:sz w:val="18"/>
      <w:szCs w:val="18"/>
    </w:rPr>
  </w:style>
  <w:style w:type="paragraph" w:styleId="a5">
    <w:name w:val="List Paragraph"/>
    <w:basedOn w:val="a"/>
    <w:uiPriority w:val="99"/>
    <w:unhideWhenUsed/>
    <w:rsid w:val="004818FF"/>
    <w:pPr>
      <w:ind w:firstLineChars="200" w:firstLine="420"/>
    </w:pPr>
  </w:style>
  <w:style w:type="paragraph" w:styleId="a6">
    <w:name w:val="Balloon Text"/>
    <w:basedOn w:val="a"/>
    <w:link w:val="Char0"/>
    <w:rsid w:val="00867EEF"/>
    <w:rPr>
      <w:sz w:val="18"/>
      <w:szCs w:val="18"/>
    </w:rPr>
  </w:style>
  <w:style w:type="character" w:customStyle="1" w:styleId="Char0">
    <w:name w:val="批注框文本 Char"/>
    <w:basedOn w:val="a0"/>
    <w:link w:val="a6"/>
    <w:rsid w:val="00867EEF"/>
    <w:rPr>
      <w:rFonts w:ascii="Arial" w:eastAsia="Arial" w:hAnsi="Arial" w:cs="Arial"/>
      <w:snapToGrid w:val="0"/>
      <w:color w:val="0000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556</Words>
  <Characters>3171</Characters>
  <Application>Microsoft Office Word</Application>
  <DocSecurity>0</DocSecurity>
  <Lines>26</Lines>
  <Paragraphs>7</Paragraphs>
  <ScaleCrop>false</ScaleCrop>
  <Company>微软中国</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慎独</dc:creator>
  <cp:lastModifiedBy>Administrator</cp:lastModifiedBy>
  <cp:revision>20</cp:revision>
  <dcterms:created xsi:type="dcterms:W3CDTF">2021-10-14T01:41:00Z</dcterms:created>
  <dcterms:modified xsi:type="dcterms:W3CDTF">2022-11-03T07:45:00Z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AEA32FA263BF4B289728E75BB416D713</vt:lpwstr>
  </property>
</Properties>
</file>