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62739">
      <w:pPr>
        <w:pStyle w:val="6"/>
        <w:keepNext w:val="0"/>
        <w:keepLines w:val="0"/>
        <w:pageBreakBefore w:val="0"/>
        <w:kinsoku/>
        <w:wordWrap/>
        <w:overflowPunct/>
        <w:topLinePunct w:val="0"/>
        <w:autoSpaceDE/>
        <w:autoSpaceDN/>
        <w:bidi w:val="0"/>
        <w:adjustRightInd w:val="0"/>
        <w:snapToGrid w:val="0"/>
        <w:spacing w:line="560" w:lineRule="exact"/>
        <w:rPr>
          <w:rFonts w:hint="eastAsia" w:ascii="楷体_GB2312" w:hAnsi="宋体" w:eastAsia="楷体_GB2312" w:cs="宋体"/>
          <w:color w:val="000000"/>
          <w:sz w:val="30"/>
          <w:szCs w:val="30"/>
          <w:highlight w:val="none"/>
        </w:rPr>
      </w:pPr>
      <w:r>
        <w:rPr>
          <w:rFonts w:hint="eastAsia" w:ascii="楷体_GB2312" w:hAnsi="宋体" w:eastAsia="楷体_GB2312" w:cs="宋体"/>
          <w:color w:val="000000"/>
          <w:sz w:val="30"/>
          <w:szCs w:val="30"/>
          <w:highlight w:val="none"/>
        </w:rPr>
        <w:t>区十七届人大</w:t>
      </w:r>
      <w:r>
        <w:rPr>
          <w:rFonts w:hint="eastAsia" w:ascii="楷体_GB2312" w:hAnsi="宋体" w:eastAsia="楷体_GB2312" w:cs="宋体"/>
          <w:color w:val="000000"/>
          <w:sz w:val="30"/>
          <w:szCs w:val="30"/>
          <w:highlight w:val="none"/>
          <w:lang w:val="en-US" w:eastAsia="zh-CN"/>
        </w:rPr>
        <w:t>五</w:t>
      </w:r>
      <w:r>
        <w:rPr>
          <w:rFonts w:hint="eastAsia" w:ascii="楷体_GB2312" w:hAnsi="宋体" w:eastAsia="楷体_GB2312" w:cs="宋体"/>
          <w:color w:val="000000"/>
          <w:sz w:val="30"/>
          <w:szCs w:val="30"/>
          <w:highlight w:val="none"/>
        </w:rPr>
        <w:t>次会议文件</w:t>
      </w:r>
    </w:p>
    <w:p w14:paraId="7498E330">
      <w:pPr>
        <w:pStyle w:val="6"/>
        <w:keepNext w:val="0"/>
        <w:keepLines w:val="0"/>
        <w:pageBreakBefore w:val="0"/>
        <w:kinsoku/>
        <w:wordWrap/>
        <w:overflowPunct/>
        <w:topLinePunct w:val="0"/>
        <w:autoSpaceDE/>
        <w:autoSpaceDN/>
        <w:bidi w:val="0"/>
        <w:adjustRightInd w:val="0"/>
        <w:snapToGrid w:val="0"/>
        <w:spacing w:line="560" w:lineRule="exact"/>
        <w:rPr>
          <w:rFonts w:hint="eastAsia" w:ascii="楷体_GB2312" w:hAnsi="宋体" w:eastAsia="楷体_GB2312" w:cs="宋体"/>
          <w:color w:val="000000"/>
          <w:sz w:val="30"/>
          <w:szCs w:val="30"/>
          <w:highlight w:val="none"/>
        </w:rPr>
      </w:pPr>
    </w:p>
    <w:p w14:paraId="4BA5A54C">
      <w:pPr>
        <w:keepNext w:val="0"/>
        <w:keepLines w:val="0"/>
        <w:pageBreakBefore w:val="0"/>
        <w:kinsoku/>
        <w:wordWrap/>
        <w:overflowPunct/>
        <w:topLinePunct w:val="0"/>
        <w:autoSpaceDE/>
        <w:autoSpaceDN/>
        <w:bidi w:val="0"/>
        <w:spacing w:line="560" w:lineRule="exact"/>
        <w:jc w:val="center"/>
        <w:textAlignment w:val="auto"/>
        <w:rPr>
          <w:rFonts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青云谱区202</w:t>
      </w:r>
      <w:r>
        <w:rPr>
          <w:rFonts w:hint="eastAsia" w:ascii="方正小标宋_GBK" w:hAnsi="方正小标宋_GBK" w:eastAsia="方正小标宋_GBK" w:cs="方正小标宋_GBK"/>
          <w:sz w:val="44"/>
          <w:szCs w:val="44"/>
          <w:highlight w:val="none"/>
          <w:lang w:val="en-US" w:eastAsia="zh-CN"/>
        </w:rPr>
        <w:t>4</w:t>
      </w:r>
      <w:r>
        <w:rPr>
          <w:rFonts w:hint="eastAsia" w:ascii="方正小标宋_GBK" w:hAnsi="方正小标宋_GBK" w:eastAsia="方正小标宋_GBK" w:cs="方正小标宋_GBK"/>
          <w:sz w:val="44"/>
          <w:szCs w:val="44"/>
          <w:highlight w:val="none"/>
        </w:rPr>
        <w:t>年国民经济和社会发展计划</w:t>
      </w:r>
    </w:p>
    <w:p w14:paraId="1DCA7F64">
      <w:pPr>
        <w:keepNext w:val="0"/>
        <w:keepLines w:val="0"/>
        <w:pageBreakBefore w:val="0"/>
        <w:kinsoku/>
        <w:wordWrap/>
        <w:overflowPunct/>
        <w:topLinePunct w:val="0"/>
        <w:autoSpaceDE/>
        <w:autoSpaceDN/>
        <w:bidi w:val="0"/>
        <w:spacing w:line="560" w:lineRule="exact"/>
        <w:jc w:val="center"/>
        <w:textAlignment w:val="auto"/>
        <w:rPr>
          <w:rFonts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执行情况及202</w:t>
      </w:r>
      <w:r>
        <w:rPr>
          <w:rFonts w:hint="eastAsia" w:ascii="方正小标宋_GBK" w:hAnsi="方正小标宋_GBK" w:eastAsia="方正小标宋_GBK" w:cs="方正小标宋_GBK"/>
          <w:sz w:val="44"/>
          <w:szCs w:val="44"/>
          <w:highlight w:val="none"/>
          <w:lang w:val="en-US" w:eastAsia="zh-CN"/>
        </w:rPr>
        <w:t>5</w:t>
      </w:r>
      <w:r>
        <w:rPr>
          <w:rFonts w:hint="eastAsia" w:ascii="方正小标宋_GBK" w:hAnsi="方正小标宋_GBK" w:eastAsia="方正小标宋_GBK" w:cs="方正小标宋_GBK"/>
          <w:sz w:val="44"/>
          <w:szCs w:val="44"/>
          <w:highlight w:val="none"/>
        </w:rPr>
        <w:t>年国民经济和社会发展</w:t>
      </w:r>
    </w:p>
    <w:p w14:paraId="3826FFF8">
      <w:pPr>
        <w:keepNext w:val="0"/>
        <w:keepLines w:val="0"/>
        <w:pageBreakBefore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rPr>
        <w:t>计划草案的报告</w:t>
      </w:r>
    </w:p>
    <w:p w14:paraId="5458DC1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Cs w:val="32"/>
          <w:highlight w:val="none"/>
        </w:rPr>
      </w:pPr>
      <w:r>
        <w:rPr>
          <w:rFonts w:hint="eastAsia" w:ascii="楷体" w:hAnsi="楷体" w:eastAsia="楷体" w:cs="楷体"/>
          <w:color w:val="000000"/>
          <w:szCs w:val="32"/>
          <w:highlight w:val="none"/>
        </w:rPr>
        <w:t>——</w:t>
      </w:r>
      <w:r>
        <w:rPr>
          <w:rFonts w:hint="eastAsia" w:ascii="楷体_GB2312" w:hAnsi="楷体_GB2312" w:eastAsia="楷体_GB2312" w:cs="楷体_GB2312"/>
          <w:szCs w:val="32"/>
          <w:highlight w:val="none"/>
        </w:rPr>
        <w:t>202</w:t>
      </w:r>
      <w:r>
        <w:rPr>
          <w:rFonts w:hint="eastAsia" w:ascii="楷体_GB2312" w:hAnsi="楷体_GB2312" w:eastAsia="楷体_GB2312" w:cs="楷体_GB2312"/>
          <w:szCs w:val="32"/>
          <w:highlight w:val="none"/>
          <w:lang w:val="en-US" w:eastAsia="zh-CN"/>
        </w:rPr>
        <w:t>5</w:t>
      </w:r>
      <w:r>
        <w:rPr>
          <w:rFonts w:hint="eastAsia" w:ascii="楷体_GB2312" w:hAnsi="楷体_GB2312" w:eastAsia="楷体_GB2312" w:cs="楷体_GB2312"/>
          <w:szCs w:val="32"/>
          <w:highlight w:val="none"/>
        </w:rPr>
        <w:t>年1月</w:t>
      </w:r>
      <w:r>
        <w:rPr>
          <w:rFonts w:hint="eastAsia" w:ascii="楷体_GB2312" w:hAnsi="楷体_GB2312" w:eastAsia="楷体_GB2312" w:cs="楷体_GB2312"/>
          <w:szCs w:val="32"/>
          <w:highlight w:val="none"/>
          <w:lang w:val="en-US" w:eastAsia="zh-CN"/>
        </w:rPr>
        <w:t>6</w:t>
      </w:r>
      <w:r>
        <w:rPr>
          <w:rFonts w:hint="eastAsia" w:ascii="楷体_GB2312" w:hAnsi="楷体_GB2312" w:eastAsia="楷体_GB2312" w:cs="楷体_GB2312"/>
          <w:szCs w:val="32"/>
          <w:highlight w:val="none"/>
        </w:rPr>
        <w:t>日在青云谱区第十七届</w:t>
      </w:r>
    </w:p>
    <w:p w14:paraId="5789BF7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人民代表大会第</w:t>
      </w:r>
      <w:r>
        <w:rPr>
          <w:rFonts w:hint="eastAsia" w:ascii="楷体_GB2312" w:hAnsi="楷体_GB2312" w:eastAsia="楷体_GB2312" w:cs="楷体_GB2312"/>
          <w:sz w:val="32"/>
          <w:szCs w:val="32"/>
          <w:highlight w:val="none"/>
          <w:lang w:val="en-US" w:eastAsia="zh-CN"/>
        </w:rPr>
        <w:t>五</w:t>
      </w:r>
      <w:r>
        <w:rPr>
          <w:rFonts w:hint="eastAsia" w:ascii="楷体_GB2312" w:hAnsi="楷体_GB2312" w:eastAsia="楷体_GB2312" w:cs="楷体_GB2312"/>
          <w:sz w:val="32"/>
          <w:szCs w:val="32"/>
          <w:highlight w:val="none"/>
        </w:rPr>
        <w:t>次会议上</w:t>
      </w:r>
    </w:p>
    <w:p w14:paraId="0D00AB5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2"/>
          <w:szCs w:val="32"/>
          <w:highlight w:val="none"/>
          <w:lang w:val="en-US"/>
        </w:rPr>
      </w:pPr>
      <w:r>
        <w:rPr>
          <w:rFonts w:hint="eastAsia" w:ascii="楷体" w:hAnsi="楷体" w:eastAsia="楷体" w:cs="楷体"/>
          <w:color w:val="000000"/>
          <w:kern w:val="0"/>
          <w:sz w:val="32"/>
          <w:szCs w:val="32"/>
          <w:highlight w:val="none"/>
          <w:lang w:val="en-US" w:eastAsia="zh-CN" w:bidi="ar"/>
        </w:rPr>
        <w:t>区发展和改革委员会  林玉江</w:t>
      </w:r>
    </w:p>
    <w:p w14:paraId="0DB50761">
      <w:pPr>
        <w:keepNext w:val="0"/>
        <w:keepLines w:val="0"/>
        <w:pageBreakBefore w:val="0"/>
        <w:kinsoku/>
        <w:wordWrap/>
        <w:overflowPunct/>
        <w:topLinePunct w:val="0"/>
        <w:autoSpaceDE/>
        <w:autoSpaceDN/>
        <w:bidi w:val="0"/>
        <w:spacing w:line="560" w:lineRule="exact"/>
        <w:jc w:val="center"/>
        <w:textAlignment w:val="auto"/>
        <w:rPr>
          <w:rFonts w:ascii="楷体_GB2312" w:hAnsi="楷体_GB2312" w:eastAsia="楷体_GB2312" w:cs="楷体_GB2312"/>
          <w:szCs w:val="32"/>
          <w:highlight w:val="yellow"/>
        </w:rPr>
      </w:pPr>
    </w:p>
    <w:p w14:paraId="089B7FF1">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各位代表：</w:t>
      </w:r>
    </w:p>
    <w:p w14:paraId="1A5D7D5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cs="仿宋_GB2312"/>
          <w:sz w:val="32"/>
          <w:szCs w:val="32"/>
          <w:u w:val="none"/>
          <w:lang w:val="en-US" w:eastAsia="zh-CN"/>
        </w:rPr>
        <w:t>我</w:t>
      </w:r>
      <w:r>
        <w:rPr>
          <w:rFonts w:hint="eastAsia" w:ascii="仿宋_GB2312" w:hAnsi="仿宋_GB2312" w:eastAsia="仿宋_GB2312" w:cs="仿宋_GB2312"/>
          <w:sz w:val="32"/>
          <w:szCs w:val="32"/>
          <w:u w:val="none"/>
        </w:rPr>
        <w:t>受区人民政府委托，向大会报告青云谱区2024年国民经济和社会发展计划执行情况及2025年国民经济和社会发展计划草案，请予审议，并请各位</w:t>
      </w:r>
      <w:r>
        <w:rPr>
          <w:rFonts w:hint="eastAsia" w:ascii="仿宋_GB2312" w:hAnsi="仿宋_GB2312" w:cs="仿宋_GB2312"/>
          <w:sz w:val="32"/>
          <w:szCs w:val="32"/>
          <w:u w:val="none"/>
          <w:lang w:val="en-US" w:eastAsia="zh-CN"/>
        </w:rPr>
        <w:t>区政协</w:t>
      </w:r>
      <w:r>
        <w:rPr>
          <w:rFonts w:hint="eastAsia" w:ascii="仿宋_GB2312" w:hAnsi="仿宋_GB2312" w:eastAsia="仿宋_GB2312" w:cs="仿宋_GB2312"/>
          <w:sz w:val="32"/>
          <w:szCs w:val="32"/>
          <w:u w:val="none"/>
        </w:rPr>
        <w:t>委员和其他列席同志提出意见。</w:t>
      </w:r>
    </w:p>
    <w:p w14:paraId="00EFB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rPr>
      </w:pPr>
      <w:r>
        <w:rPr>
          <w:rFonts w:hint="eastAsia" w:ascii="黑体" w:hAnsi="黑体" w:eastAsia="黑体" w:cs="黑体"/>
          <w:sz w:val="32"/>
          <w:szCs w:val="32"/>
          <w:u w:val="none"/>
        </w:rPr>
        <w:t>一、202</w:t>
      </w:r>
      <w:r>
        <w:rPr>
          <w:rFonts w:hint="eastAsia" w:ascii="黑体" w:hAnsi="黑体" w:eastAsia="黑体" w:cs="黑体"/>
          <w:sz w:val="32"/>
          <w:szCs w:val="32"/>
          <w:u w:val="none"/>
          <w:lang w:val="en-US" w:eastAsia="zh-CN"/>
        </w:rPr>
        <w:t>4</w:t>
      </w:r>
      <w:r>
        <w:rPr>
          <w:rFonts w:hint="eastAsia" w:ascii="黑体" w:hAnsi="黑体" w:eastAsia="黑体" w:cs="黑体"/>
          <w:sz w:val="32"/>
          <w:szCs w:val="32"/>
          <w:u w:val="none"/>
        </w:rPr>
        <w:t>年国民经济和社会发展计划执行情况</w:t>
      </w:r>
    </w:p>
    <w:p w14:paraId="494A6C44">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u w:val="none"/>
        </w:rPr>
        <w:t>2024年是中华人民共和国成立75周年，是实现“十四五”规划目标任务的关键一年。一年来，在区委、区政府的正确领导下，在区人大、区政协的监督指导下，我区深入学习贯彻习近平总书记考察江西重要讲话精神，聚焦“走在前、勇争先、善作为”的目标要求，锚定“生态人文都市区、产业创新未来城”发展定位，紧扣“3+3+X”现代产业布局，围绕“四区”战场，发力“六大行动”，</w:t>
      </w:r>
      <w:r>
        <w:rPr>
          <w:rFonts w:hint="eastAsia" w:ascii="仿宋_GB2312" w:hAnsi="仿宋_GB2312" w:eastAsia="仿宋_GB2312" w:cs="仿宋_GB2312"/>
          <w:sz w:val="32"/>
          <w:szCs w:val="32"/>
          <w:highlight w:val="none"/>
          <w:u w:val="none"/>
          <w:lang w:val="en-US" w:eastAsia="zh-CN"/>
        </w:rPr>
        <w:t>全区经济社会发展回升向好，高质量发展扎实推进，</w:t>
      </w:r>
      <w:r>
        <w:rPr>
          <w:rFonts w:hint="eastAsia" w:ascii="仿宋_GB2312" w:hAnsi="仿宋_GB2312" w:cs="仿宋_GB2312"/>
          <w:sz w:val="32"/>
          <w:szCs w:val="32"/>
          <w:highlight w:val="none"/>
          <w:u w:val="none"/>
          <w:lang w:val="en-US" w:eastAsia="zh-CN"/>
        </w:rPr>
        <w:t>基本</w:t>
      </w:r>
      <w:r>
        <w:rPr>
          <w:rFonts w:hint="eastAsia" w:ascii="仿宋_GB2312" w:hAnsi="仿宋_GB2312" w:eastAsia="仿宋_GB2312" w:cs="仿宋_GB2312"/>
          <w:sz w:val="32"/>
          <w:szCs w:val="32"/>
          <w:highlight w:val="none"/>
          <w:u w:val="none"/>
          <w:lang w:val="en-US" w:eastAsia="zh-CN"/>
        </w:rPr>
        <w:t>完成了全年各项工作任务</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地区生产总值预计增长</w:t>
      </w:r>
      <w:r>
        <w:rPr>
          <w:rFonts w:hint="eastAsia" w:ascii="仿宋_GB2312" w:hAnsi="仿宋_GB2312" w:cs="仿宋_GB2312"/>
          <w:sz w:val="32"/>
          <w:szCs w:val="32"/>
          <w:highlight w:val="none"/>
          <w:u w:val="none"/>
          <w:lang w:val="en-US" w:eastAsia="zh-CN"/>
        </w:rPr>
        <w:t>5</w:t>
      </w:r>
      <w:r>
        <w:rPr>
          <w:rFonts w:hint="eastAsia" w:ascii="仿宋_GB2312" w:hAnsi="仿宋_GB2312" w:eastAsia="仿宋_GB2312" w:cs="仿宋_GB2312"/>
          <w:sz w:val="32"/>
          <w:szCs w:val="32"/>
          <w:highlight w:val="none"/>
          <w:u w:val="none"/>
          <w:lang w:val="en-US" w:eastAsia="zh-CN"/>
        </w:rPr>
        <w:t>%左右</w:t>
      </w:r>
      <w:r>
        <w:rPr>
          <w:rFonts w:hint="eastAsia" w:ascii="仿宋_GB2312" w:hAnsi="仿宋_GB2312" w:cs="仿宋_GB2312"/>
          <w:sz w:val="32"/>
          <w:szCs w:val="32"/>
          <w:highlight w:val="none"/>
          <w:u w:val="none"/>
          <w:lang w:val="en-US" w:eastAsia="zh-CN"/>
        </w:rPr>
        <w:t>；地方</w:t>
      </w:r>
      <w:r>
        <w:rPr>
          <w:rFonts w:hint="eastAsia" w:ascii="仿宋_GB2312" w:hAnsi="仿宋_GB2312" w:eastAsia="仿宋_GB2312" w:cs="仿宋_GB2312"/>
          <w:sz w:val="32"/>
          <w:szCs w:val="32"/>
          <w:highlight w:val="none"/>
          <w:u w:val="none"/>
          <w:lang w:val="en-US" w:eastAsia="zh-CN"/>
        </w:rPr>
        <w:t>一般公共预算收入增长</w:t>
      </w:r>
      <w:r>
        <w:rPr>
          <w:rFonts w:hint="eastAsia" w:ascii="仿宋_GB2312" w:hAnsi="仿宋_GB2312" w:cs="仿宋_GB2312"/>
          <w:sz w:val="32"/>
          <w:szCs w:val="32"/>
          <w:highlight w:val="none"/>
          <w:u w:val="none"/>
          <w:lang w:val="en-US" w:eastAsia="zh-CN"/>
        </w:rPr>
        <w:t>7.1</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规模以上工业增加值预计增长</w:t>
      </w:r>
      <w:r>
        <w:rPr>
          <w:rFonts w:hint="eastAsia" w:ascii="仿宋_GB2312" w:hAnsi="仿宋_GB2312" w:cs="仿宋_GB2312"/>
          <w:sz w:val="32"/>
          <w:szCs w:val="32"/>
          <w:highlight w:val="none"/>
          <w:u w:val="none"/>
          <w:lang w:val="en-US" w:eastAsia="zh-CN"/>
        </w:rPr>
        <w:t>10</w:t>
      </w:r>
      <w:r>
        <w:rPr>
          <w:rFonts w:hint="eastAsia" w:ascii="仿宋_GB2312" w:hAnsi="仿宋_GB2312" w:eastAsia="仿宋_GB2312" w:cs="仿宋_GB2312"/>
          <w:sz w:val="32"/>
          <w:szCs w:val="32"/>
          <w:highlight w:val="none"/>
          <w:u w:val="none"/>
          <w:lang w:val="en-US" w:eastAsia="zh-CN"/>
        </w:rPr>
        <w:t>%左右</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基础设施投资预计完成55亿元左右，增长16.5%左右</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社会消费品零售总额预计完成331亿元左右，其中，限上消费品零售额预计完成225亿元左右，增速实现逐月回升。主要体现在以下几个方面:</w:t>
      </w:r>
    </w:p>
    <w:p w14:paraId="405765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（一）坚持稳字当头，推动经济运行整体好转</w:t>
      </w:r>
    </w:p>
    <w:p w14:paraId="0BD73E8A">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pacing w:val="0"/>
          <w:kern w:val="0"/>
          <w:sz w:val="32"/>
          <w:szCs w:val="32"/>
          <w:highlight w:val="none"/>
          <w:u w:val="none"/>
          <w:lang w:val="en-US" w:eastAsia="zh-CN" w:bidi="ar"/>
        </w:rPr>
      </w:pPr>
      <w:r>
        <w:rPr>
          <w:rFonts w:hint="eastAsia" w:ascii="仿宋_GB2312" w:hAnsi="仿宋_GB2312" w:eastAsia="仿宋_GB2312" w:cs="仿宋_GB2312"/>
          <w:b/>
          <w:bCs/>
          <w:sz w:val="32"/>
          <w:szCs w:val="32"/>
          <w:u w:val="none"/>
          <w:lang w:val="en-US" w:eastAsia="zh-CN"/>
        </w:rPr>
        <w:t>一是产业体系持续完善。</w:t>
      </w:r>
      <w:r>
        <w:rPr>
          <w:rFonts w:hint="eastAsia" w:ascii="仿宋_GB2312" w:hAnsi="仿宋_GB2312" w:eastAsia="仿宋_GB2312" w:cs="仿宋_GB2312"/>
          <w:color w:val="000000"/>
          <w:kern w:val="0"/>
          <w:sz w:val="32"/>
          <w:szCs w:val="32"/>
          <w:u w:val="none"/>
          <w:lang w:val="en-US" w:eastAsia="zh-CN" w:bidi="ar"/>
        </w:rPr>
        <w:t>青云谱“3+3+X”</w:t>
      </w:r>
      <w:r>
        <w:rPr>
          <w:rFonts w:hint="eastAsia" w:ascii="仿宋_GB2312" w:hAnsi="仿宋_GB2312" w:cs="仿宋_GB2312"/>
          <w:color w:val="000000"/>
          <w:kern w:val="0"/>
          <w:sz w:val="32"/>
          <w:szCs w:val="32"/>
          <w:u w:val="none"/>
          <w:lang w:val="en-US" w:eastAsia="zh-CN" w:bidi="ar"/>
        </w:rPr>
        <w:t>现代</w:t>
      </w:r>
      <w:r>
        <w:rPr>
          <w:rFonts w:hint="eastAsia" w:ascii="仿宋_GB2312" w:hAnsi="仿宋_GB2312" w:eastAsia="仿宋_GB2312" w:cs="仿宋_GB2312"/>
          <w:color w:val="000000"/>
          <w:kern w:val="0"/>
          <w:sz w:val="32"/>
          <w:szCs w:val="32"/>
          <w:u w:val="none"/>
          <w:lang w:val="en-US" w:eastAsia="zh-CN" w:bidi="ar"/>
        </w:rPr>
        <w:t>产业体系得到进一步发展完善。</w:t>
      </w:r>
      <w:r>
        <w:rPr>
          <w:rFonts w:hint="eastAsia" w:ascii="仿宋_GB2312" w:hAnsi="仿宋_GB2312" w:eastAsia="仿宋_GB2312" w:cs="仿宋_GB2312"/>
          <w:color w:val="auto"/>
          <w:sz w:val="32"/>
          <w:szCs w:val="32"/>
          <w:highlight w:val="none"/>
          <w:u w:val="none"/>
          <w:shd w:val="clear" w:color="auto" w:fill="auto"/>
          <w:lang w:val="en-US" w:eastAsia="zh-CN"/>
        </w:rPr>
        <w:t>全年，</w:t>
      </w:r>
      <w:r>
        <w:rPr>
          <w:rFonts w:hint="eastAsia" w:ascii="仿宋_GB2312" w:hAnsi="仿宋_GB2312" w:eastAsia="仿宋_GB2312" w:cs="仿宋_GB2312"/>
          <w:color w:val="000000"/>
          <w:kern w:val="0"/>
          <w:sz w:val="32"/>
          <w:szCs w:val="32"/>
          <w:u w:val="none"/>
          <w:lang w:val="en-US" w:eastAsia="zh-CN" w:bidi="ar"/>
        </w:rPr>
        <w:t>规模以上建筑业企业总数</w:t>
      </w:r>
      <w:r>
        <w:rPr>
          <w:rFonts w:hint="eastAsia" w:ascii="仿宋_GB2312" w:hAnsi="仿宋_GB2312" w:cs="仿宋_GB2312"/>
          <w:color w:val="000000"/>
          <w:kern w:val="0"/>
          <w:sz w:val="32"/>
          <w:szCs w:val="32"/>
          <w:u w:val="none"/>
          <w:lang w:val="en-US" w:eastAsia="zh-CN" w:bidi="ar"/>
        </w:rPr>
        <w:t>突破140</w:t>
      </w:r>
      <w:r>
        <w:rPr>
          <w:rFonts w:hint="eastAsia" w:ascii="仿宋_GB2312" w:hAnsi="仿宋_GB2312" w:eastAsia="仿宋_GB2312" w:cs="仿宋_GB2312"/>
          <w:color w:val="000000"/>
          <w:kern w:val="0"/>
          <w:sz w:val="32"/>
          <w:szCs w:val="32"/>
          <w:u w:val="none"/>
          <w:lang w:val="en-US" w:eastAsia="zh-CN" w:bidi="ar"/>
        </w:rPr>
        <w:t>家，总产值</w:t>
      </w:r>
      <w:r>
        <w:rPr>
          <w:rFonts w:hint="eastAsia" w:ascii="仿宋_GB2312" w:hAnsi="仿宋_GB2312" w:cs="仿宋_GB2312"/>
          <w:color w:val="000000"/>
          <w:kern w:val="0"/>
          <w:sz w:val="32"/>
          <w:szCs w:val="32"/>
          <w:u w:val="none"/>
          <w:lang w:val="en-US" w:eastAsia="zh-CN" w:bidi="ar"/>
        </w:rPr>
        <w:t>超</w:t>
      </w:r>
      <w:r>
        <w:rPr>
          <w:rFonts w:hint="eastAsia" w:ascii="仿宋_GB2312" w:hAnsi="仿宋_GB2312" w:eastAsia="仿宋_GB2312" w:cs="仿宋_GB2312"/>
          <w:color w:val="000000"/>
          <w:kern w:val="0"/>
          <w:sz w:val="32"/>
          <w:szCs w:val="32"/>
          <w:u w:val="none"/>
          <w:lang w:val="en-US" w:eastAsia="zh-CN" w:bidi="ar"/>
        </w:rPr>
        <w:t>9</w:t>
      </w:r>
      <w:r>
        <w:rPr>
          <w:rFonts w:hint="eastAsia" w:ascii="仿宋_GB2312" w:hAnsi="仿宋_GB2312" w:cs="仿宋_GB2312"/>
          <w:color w:val="000000"/>
          <w:kern w:val="0"/>
          <w:sz w:val="32"/>
          <w:szCs w:val="32"/>
          <w:u w:val="none"/>
          <w:lang w:val="en-US" w:eastAsia="zh-CN" w:bidi="ar"/>
        </w:rPr>
        <w:t>50</w:t>
      </w:r>
      <w:r>
        <w:rPr>
          <w:rFonts w:hint="eastAsia" w:ascii="仿宋_GB2312" w:hAnsi="仿宋_GB2312" w:eastAsia="仿宋_GB2312" w:cs="仿宋_GB2312"/>
          <w:color w:val="000000"/>
          <w:kern w:val="0"/>
          <w:sz w:val="32"/>
          <w:szCs w:val="32"/>
          <w:u w:val="none"/>
          <w:lang w:val="en-US" w:eastAsia="zh-CN" w:bidi="ar"/>
        </w:rPr>
        <w:t>亿</w:t>
      </w:r>
      <w:r>
        <w:rPr>
          <w:rFonts w:hint="eastAsia" w:ascii="仿宋_GB2312" w:hAnsi="仿宋_GB2312" w:cs="仿宋_GB2312"/>
          <w:color w:val="000000"/>
          <w:kern w:val="0"/>
          <w:sz w:val="32"/>
          <w:szCs w:val="32"/>
          <w:u w:val="none"/>
          <w:lang w:val="en-US" w:eastAsia="zh-CN" w:bidi="ar"/>
        </w:rPr>
        <w:t>元</w:t>
      </w:r>
      <w:r>
        <w:rPr>
          <w:rFonts w:hint="eastAsia" w:ascii="仿宋_GB2312" w:hAnsi="仿宋_GB2312" w:eastAsia="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highlight w:val="none"/>
          <w:u w:val="none"/>
          <w:lang w:val="en-US" w:eastAsia="zh-CN" w:bidi="ar"/>
        </w:rPr>
        <w:t>同比增长18%</w:t>
      </w:r>
      <w:r>
        <w:rPr>
          <w:rFonts w:hint="eastAsia" w:ascii="仿宋_GB2312" w:hAnsi="仿宋_GB2312" w:cs="仿宋_GB2312"/>
          <w:color w:val="000000"/>
          <w:kern w:val="0"/>
          <w:sz w:val="32"/>
          <w:szCs w:val="32"/>
          <w:highlight w:val="none"/>
          <w:u w:val="none"/>
          <w:lang w:val="en-US" w:eastAsia="zh-CN" w:bidi="ar"/>
        </w:rPr>
        <w:t>左右</w:t>
      </w:r>
      <w:r>
        <w:rPr>
          <w:rFonts w:hint="eastAsia" w:ascii="仿宋_GB2312" w:hAnsi="仿宋_GB2312" w:cs="仿宋_GB2312"/>
          <w:color w:val="auto"/>
          <w:sz w:val="32"/>
          <w:szCs w:val="32"/>
          <w:highlight w:val="none"/>
          <w:u w:val="none"/>
          <w:shd w:val="clear" w:color="auto" w:fill="auto"/>
          <w:lang w:val="en-US" w:eastAsia="zh-CN"/>
        </w:rPr>
        <w:t>。</w:t>
      </w:r>
      <w:r>
        <w:rPr>
          <w:rFonts w:hint="eastAsia" w:ascii="仿宋_GB2312" w:hAnsi="仿宋_GB2312" w:eastAsia="仿宋_GB2312" w:cs="仿宋_GB2312"/>
          <w:color w:val="000000"/>
          <w:kern w:val="0"/>
          <w:sz w:val="32"/>
          <w:szCs w:val="32"/>
          <w:u w:val="none"/>
          <w:lang w:val="en-US" w:eastAsia="zh-CN" w:bidi="ar"/>
        </w:rPr>
        <w:t>商贸物流企业</w:t>
      </w:r>
      <w:r>
        <w:rPr>
          <w:rFonts w:hint="eastAsia" w:ascii="仿宋_GB2312" w:hAnsi="仿宋_GB2312" w:cs="仿宋_GB2312"/>
          <w:color w:val="000000"/>
          <w:kern w:val="0"/>
          <w:sz w:val="32"/>
          <w:szCs w:val="32"/>
          <w:u w:val="none"/>
          <w:lang w:val="en-US" w:eastAsia="zh-CN" w:bidi="ar"/>
        </w:rPr>
        <w:t>达</w:t>
      </w:r>
      <w:r>
        <w:rPr>
          <w:rFonts w:hint="eastAsia" w:ascii="仿宋_GB2312" w:hAnsi="仿宋_GB2312" w:eastAsia="仿宋_GB2312" w:cs="仿宋_GB2312"/>
          <w:color w:val="000000"/>
          <w:kern w:val="0"/>
          <w:sz w:val="32"/>
          <w:szCs w:val="32"/>
          <w:u w:val="none"/>
          <w:lang w:val="en-US" w:eastAsia="zh-CN" w:bidi="ar"/>
        </w:rPr>
        <w:t>680余家，其中商贸重点企业22家，帮助企业争取项目资金490.75万元</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u w:val="none"/>
          <w:lang w:val="en-US" w:eastAsia="zh-CN" w:bidi="ar"/>
        </w:rPr>
        <w:t>规上工业企业突破40家，工业总产值64亿元</w:t>
      </w:r>
      <w:r>
        <w:rPr>
          <w:rFonts w:hint="eastAsia" w:ascii="仿宋_GB2312" w:hAnsi="仿宋_GB2312" w:cs="仿宋_GB2312"/>
          <w:color w:val="000000"/>
          <w:kern w:val="0"/>
          <w:sz w:val="32"/>
          <w:szCs w:val="32"/>
          <w:u w:val="none"/>
          <w:lang w:val="en-US" w:eastAsia="zh-CN" w:bidi="ar"/>
        </w:rPr>
        <w:t>。其中，</w:t>
      </w:r>
      <w:r>
        <w:rPr>
          <w:rFonts w:hint="eastAsia" w:ascii="仿宋_GB2312" w:hAnsi="仿宋_GB2312" w:eastAsia="仿宋_GB2312" w:cs="仿宋_GB2312"/>
          <w:color w:val="000000"/>
          <w:kern w:val="0"/>
          <w:sz w:val="32"/>
          <w:szCs w:val="32"/>
          <w:u w:val="none"/>
          <w:lang w:val="en-US" w:eastAsia="zh-CN" w:bidi="ar"/>
        </w:rPr>
        <w:t>南昌印钞有限公司获得2024年度省级智能制造标杆企业荣誉称号。规上数字经济核心产业企业增至</w:t>
      </w:r>
      <w:r>
        <w:rPr>
          <w:rFonts w:hint="eastAsia" w:ascii="仿宋_GB2312" w:hAnsi="仿宋_GB2312" w:cs="仿宋_GB2312"/>
          <w:color w:val="000000"/>
          <w:kern w:val="0"/>
          <w:sz w:val="32"/>
          <w:szCs w:val="32"/>
          <w:u w:val="none"/>
          <w:lang w:val="en-US" w:eastAsia="zh-CN" w:bidi="ar"/>
        </w:rPr>
        <w:t>28</w:t>
      </w:r>
      <w:r>
        <w:rPr>
          <w:rFonts w:hint="eastAsia" w:ascii="仿宋_GB2312" w:hAnsi="仿宋_GB2312" w:eastAsia="仿宋_GB2312" w:cs="仿宋_GB2312"/>
          <w:color w:val="000000"/>
          <w:kern w:val="0"/>
          <w:sz w:val="32"/>
          <w:szCs w:val="32"/>
          <w:u w:val="none"/>
          <w:lang w:val="en-US" w:eastAsia="zh-CN" w:bidi="ar"/>
        </w:rPr>
        <w:t>家，营业收入达16.39亿元，同比增长16.3%</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highlight w:val="none"/>
          <w:u w:val="none"/>
          <w:lang w:val="en-US" w:eastAsia="zh-CN" w:bidi="ar"/>
        </w:rPr>
        <w:t>其中，颐高数字经济产业园获得省数字经济集聚区称号</w:t>
      </w:r>
      <w:r>
        <w:rPr>
          <w:rFonts w:hint="eastAsia" w:ascii="仿宋_GB2312" w:hAnsi="仿宋_GB2312" w:cs="仿宋_GB2312"/>
          <w:color w:val="000000"/>
          <w:kern w:val="0"/>
          <w:sz w:val="32"/>
          <w:szCs w:val="32"/>
          <w:highlight w:val="none"/>
          <w:u w:val="none"/>
          <w:lang w:val="en-US" w:eastAsia="zh-CN" w:bidi="ar"/>
        </w:rPr>
        <w:t>。共获得</w:t>
      </w:r>
      <w:r>
        <w:rPr>
          <w:rFonts w:hint="eastAsia" w:ascii="仿宋_GB2312" w:hAnsi="仿宋_GB2312" w:eastAsia="仿宋_GB2312" w:cs="仿宋_GB2312"/>
          <w:color w:val="000000"/>
          <w:kern w:val="0"/>
          <w:sz w:val="32"/>
          <w:szCs w:val="32"/>
          <w:highlight w:val="none"/>
          <w:u w:val="none"/>
          <w:lang w:val="en-US" w:eastAsia="zh-CN" w:bidi="ar"/>
        </w:rPr>
        <w:t>省级数字经济专项资金补助400万。</w:t>
      </w:r>
      <w:r>
        <w:rPr>
          <w:rFonts w:hint="eastAsia" w:ascii="仿宋_GB2312" w:hAnsi="仿宋_GB2312" w:eastAsia="仿宋_GB2312" w:cs="仿宋_GB2312"/>
          <w:color w:val="000000"/>
          <w:kern w:val="0"/>
          <w:sz w:val="32"/>
          <w:szCs w:val="32"/>
          <w:u w:val="none"/>
          <w:lang w:val="en-US" w:eastAsia="zh-CN" w:bidi="ar"/>
        </w:rPr>
        <w:t>生命健康</w:t>
      </w:r>
      <w:r>
        <w:rPr>
          <w:rFonts w:hint="eastAsia" w:ascii="仿宋_GB2312" w:hAnsi="仿宋_GB2312" w:cs="仿宋_GB2312"/>
          <w:color w:val="000000"/>
          <w:kern w:val="0"/>
          <w:sz w:val="32"/>
          <w:szCs w:val="32"/>
          <w:u w:val="none"/>
          <w:lang w:val="en-US" w:eastAsia="zh-CN" w:bidi="ar"/>
        </w:rPr>
        <w:t>产业成功</w:t>
      </w:r>
      <w:r>
        <w:rPr>
          <w:rFonts w:hint="eastAsia" w:ascii="仿宋_GB2312" w:hAnsi="仿宋_GB2312" w:eastAsia="仿宋_GB2312" w:cs="仿宋_GB2312"/>
          <w:color w:val="000000"/>
          <w:kern w:val="0"/>
          <w:sz w:val="32"/>
          <w:szCs w:val="32"/>
          <w:u w:val="none"/>
          <w:lang w:val="en-US" w:eastAsia="zh-CN" w:bidi="ar"/>
        </w:rPr>
        <w:t>引进热敏灸智能设备研发生产基地、体外诊断研究院等优质项目</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u w:val="none"/>
          <w:lang w:val="en-US" w:eastAsia="zh-CN" w:bidi="ar"/>
        </w:rPr>
        <w:t>企业</w:t>
      </w:r>
      <w:r>
        <w:rPr>
          <w:rFonts w:hint="eastAsia" w:ascii="仿宋_GB2312" w:hAnsi="仿宋_GB2312" w:cs="仿宋_GB2312"/>
          <w:color w:val="000000"/>
          <w:kern w:val="0"/>
          <w:sz w:val="32"/>
          <w:szCs w:val="32"/>
          <w:u w:val="none"/>
          <w:lang w:val="en-US" w:eastAsia="zh-CN" w:bidi="ar"/>
        </w:rPr>
        <w:t>数</w:t>
      </w:r>
      <w:r>
        <w:rPr>
          <w:rFonts w:hint="eastAsia" w:ascii="仿宋_GB2312" w:hAnsi="仿宋_GB2312" w:eastAsia="仿宋_GB2312" w:cs="仿宋_GB2312"/>
          <w:color w:val="000000"/>
          <w:kern w:val="0"/>
          <w:sz w:val="32"/>
          <w:szCs w:val="32"/>
          <w:u w:val="none"/>
          <w:lang w:val="en-US" w:eastAsia="zh-CN" w:bidi="ar"/>
        </w:rPr>
        <w:t>达900余家</w:t>
      </w:r>
      <w:r>
        <w:rPr>
          <w:rFonts w:hint="eastAsia" w:ascii="仿宋_GB2312" w:hAnsi="仿宋_GB2312" w:cs="仿宋_GB2312"/>
          <w:color w:val="000000"/>
          <w:kern w:val="0"/>
          <w:sz w:val="32"/>
          <w:szCs w:val="32"/>
          <w:u w:val="none"/>
          <w:lang w:val="en-US" w:eastAsia="zh-CN" w:bidi="ar"/>
        </w:rPr>
        <w:t>。</w:t>
      </w:r>
    </w:p>
    <w:p w14:paraId="1ADD57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kern w:val="0"/>
          <w:sz w:val="32"/>
          <w:szCs w:val="32"/>
          <w:u w:val="none"/>
          <w:lang w:val="en-US" w:eastAsia="zh-CN" w:bidi="ar"/>
        </w:rPr>
      </w:pPr>
      <w:r>
        <w:rPr>
          <w:rFonts w:hint="eastAsia" w:ascii="仿宋_GB2312" w:hAnsi="仿宋_GB2312" w:eastAsia="仿宋_GB2312" w:cs="仿宋_GB2312"/>
          <w:b/>
          <w:bCs/>
          <w:sz w:val="32"/>
          <w:szCs w:val="32"/>
          <w:highlight w:val="none"/>
          <w:u w:val="none"/>
          <w:lang w:val="en-US" w:eastAsia="zh-CN"/>
        </w:rPr>
        <w:t>二是项目投资有力支撑。</w:t>
      </w:r>
      <w:r>
        <w:rPr>
          <w:rFonts w:hint="eastAsia" w:ascii="仿宋_GB2312" w:hAnsi="仿宋_GB2312" w:eastAsia="仿宋_GB2312" w:cs="仿宋_GB2312"/>
          <w:sz w:val="32"/>
          <w:szCs w:val="32"/>
          <w:highlight w:val="none"/>
          <w:u w:val="none"/>
          <w:lang w:val="en-US" w:eastAsia="zh-CN"/>
        </w:rPr>
        <w:t>重大重点项目建设态势向好，全年共推进179个项目，总投资668亿元，年度投资完成</w:t>
      </w:r>
      <w:r>
        <w:rPr>
          <w:rFonts w:hint="eastAsia" w:ascii="仿宋_GB2312" w:hAnsi="仿宋_GB2312" w:cs="仿宋_GB2312"/>
          <w:sz w:val="32"/>
          <w:szCs w:val="32"/>
          <w:highlight w:val="none"/>
          <w:u w:val="none"/>
          <w:lang w:val="en-US" w:eastAsia="zh-CN"/>
        </w:rPr>
        <w:t>305.78</w:t>
      </w:r>
      <w:r>
        <w:rPr>
          <w:rFonts w:hint="eastAsia" w:ascii="仿宋_GB2312" w:hAnsi="仿宋_GB2312" w:eastAsia="仿宋_GB2312" w:cs="仿宋_GB2312"/>
          <w:sz w:val="32"/>
          <w:szCs w:val="32"/>
          <w:highlight w:val="none"/>
          <w:u w:val="none"/>
          <w:lang w:val="en-US" w:eastAsia="zh-CN"/>
        </w:rPr>
        <w:t>亿元</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73个省、市重大重点项目总投资约470亿，全年完成投资约204亿，完成年度投资计划105%，大幅超时序推进</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积极争取</w:t>
      </w:r>
      <w:r>
        <w:rPr>
          <w:rFonts w:hint="eastAsia" w:ascii="仿宋_GB2312" w:hAnsi="仿宋_GB2312" w:cs="仿宋_GB2312"/>
          <w:sz w:val="32"/>
          <w:szCs w:val="32"/>
          <w:highlight w:val="none"/>
          <w:u w:val="none"/>
          <w:lang w:val="en-US" w:eastAsia="zh-CN"/>
        </w:rPr>
        <w:t>6.8亿元</w:t>
      </w:r>
      <w:r>
        <w:rPr>
          <w:rFonts w:hint="eastAsia" w:ascii="仿宋_GB2312" w:hAnsi="仿宋_GB2312" w:eastAsia="仿宋_GB2312" w:cs="仿宋_GB2312"/>
          <w:sz w:val="32"/>
          <w:szCs w:val="32"/>
          <w:highlight w:val="none"/>
          <w:u w:val="none"/>
          <w:lang w:val="en-US" w:eastAsia="zh-CN"/>
        </w:rPr>
        <w:t>资金支持项目建设，</w:t>
      </w:r>
      <w:r>
        <w:rPr>
          <w:rFonts w:hint="eastAsia" w:ascii="仿宋_GB2312" w:hAnsi="仿宋_GB2312" w:cs="仿宋_GB2312"/>
          <w:sz w:val="32"/>
          <w:szCs w:val="32"/>
          <w:highlight w:val="none"/>
          <w:u w:val="none"/>
          <w:lang w:val="en-US" w:eastAsia="zh-CN"/>
        </w:rPr>
        <w:t>其中</w:t>
      </w:r>
      <w:r>
        <w:rPr>
          <w:rFonts w:hint="eastAsia" w:ascii="仿宋_GB2312" w:hAnsi="仿宋_GB2312" w:eastAsia="仿宋_GB2312" w:cs="仿宋_GB2312"/>
          <w:sz w:val="32"/>
          <w:szCs w:val="32"/>
          <w:highlight w:val="none"/>
          <w:u w:val="none"/>
          <w:lang w:val="en-US" w:eastAsia="zh-CN"/>
        </w:rPr>
        <w:t>专项债券4.41亿元</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中央预算内投资资金1.21亿元、超长期特别国债资金1.16亿元。</w:t>
      </w:r>
    </w:p>
    <w:p w14:paraId="7D6136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三是消费活力不断迸发。</w:t>
      </w:r>
      <w:r>
        <w:rPr>
          <w:rFonts w:hint="eastAsia" w:ascii="仿宋_GB2312" w:hAnsi="仿宋_GB2312" w:eastAsia="仿宋_GB2312" w:cs="仿宋_GB2312"/>
          <w:color w:val="000000"/>
          <w:kern w:val="0"/>
          <w:sz w:val="32"/>
          <w:szCs w:val="32"/>
          <w:u w:val="none"/>
          <w:lang w:val="en-US" w:eastAsia="zh-CN" w:bidi="ar"/>
        </w:rPr>
        <w:t>进一步提振内需、扩大消费，开展“惠购青云谱”系列促消费活动</w:t>
      </w:r>
      <w:r>
        <w:rPr>
          <w:rFonts w:hint="eastAsia" w:ascii="仿宋_GB2312" w:hAnsi="仿宋_GB2312" w:cs="仿宋_GB2312"/>
          <w:color w:val="000000"/>
          <w:kern w:val="0"/>
          <w:sz w:val="32"/>
          <w:szCs w:val="32"/>
          <w:u w:val="none"/>
          <w:lang w:val="en-US" w:eastAsia="zh-CN" w:bidi="ar"/>
        </w:rPr>
        <w:t>7</w:t>
      </w:r>
      <w:r>
        <w:rPr>
          <w:rFonts w:hint="eastAsia" w:ascii="仿宋_GB2312" w:hAnsi="仿宋_GB2312" w:eastAsia="仿宋_GB2312" w:cs="仿宋_GB2312"/>
          <w:color w:val="000000"/>
          <w:kern w:val="0"/>
          <w:sz w:val="32"/>
          <w:szCs w:val="32"/>
          <w:u w:val="none"/>
          <w:lang w:val="en-US" w:eastAsia="zh-CN" w:bidi="ar"/>
        </w:rPr>
        <w:t>场，发放电子消费券</w:t>
      </w:r>
      <w:r>
        <w:rPr>
          <w:rFonts w:hint="eastAsia" w:ascii="仿宋_GB2312" w:hAnsi="仿宋_GB2312" w:cs="仿宋_GB2312"/>
          <w:color w:val="000000"/>
          <w:kern w:val="0"/>
          <w:sz w:val="32"/>
          <w:szCs w:val="32"/>
          <w:u w:val="none"/>
          <w:lang w:val="en-US" w:eastAsia="zh-CN" w:bidi="ar"/>
        </w:rPr>
        <w:t>300</w:t>
      </w:r>
      <w:r>
        <w:rPr>
          <w:rFonts w:hint="eastAsia" w:ascii="仿宋_GB2312" w:hAnsi="仿宋_GB2312" w:eastAsia="仿宋_GB2312" w:cs="仿宋_GB2312"/>
          <w:color w:val="000000"/>
          <w:kern w:val="0"/>
          <w:sz w:val="32"/>
          <w:szCs w:val="32"/>
          <w:u w:val="none"/>
          <w:lang w:val="en-US" w:eastAsia="zh-CN" w:bidi="ar"/>
        </w:rPr>
        <w:t>万元，拉动消费约</w:t>
      </w:r>
      <w:r>
        <w:rPr>
          <w:rFonts w:hint="eastAsia" w:ascii="仿宋_GB2312" w:hAnsi="仿宋_GB2312" w:cs="仿宋_GB2312"/>
          <w:color w:val="000000"/>
          <w:kern w:val="0"/>
          <w:sz w:val="32"/>
          <w:szCs w:val="32"/>
          <w:u w:val="none"/>
          <w:lang w:val="en-US" w:eastAsia="zh-CN" w:bidi="ar"/>
        </w:rPr>
        <w:t>超3</w:t>
      </w:r>
      <w:r>
        <w:rPr>
          <w:rFonts w:hint="eastAsia" w:ascii="仿宋_GB2312" w:hAnsi="仿宋_GB2312" w:eastAsia="仿宋_GB2312" w:cs="仿宋_GB2312"/>
          <w:color w:val="000000"/>
          <w:kern w:val="0"/>
          <w:sz w:val="32"/>
          <w:szCs w:val="32"/>
          <w:u w:val="none"/>
          <w:lang w:val="en-US" w:eastAsia="zh-CN" w:bidi="ar"/>
        </w:rPr>
        <w:t>亿元</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u w:val="none"/>
          <w:lang w:val="en-US" w:eastAsia="zh-CN" w:bidi="ar"/>
        </w:rPr>
        <w:t>王府井活动期间日均最高客流量达9.2万人次，日均最高消费额800多万元</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u w:val="none"/>
          <w:lang w:val="en-US" w:eastAsia="zh-CN" w:bidi="ar"/>
        </w:rPr>
        <w:t>积极配合央视综合频道“三餐四季”栏目组工作，进一步</w:t>
      </w:r>
      <w:r>
        <w:rPr>
          <w:rFonts w:hint="eastAsia" w:ascii="仿宋_GB2312" w:hAnsi="仿宋_GB2312" w:cs="仿宋_GB2312"/>
          <w:color w:val="000000"/>
          <w:kern w:val="0"/>
          <w:sz w:val="32"/>
          <w:szCs w:val="32"/>
          <w:u w:val="none"/>
          <w:lang w:val="en-US" w:eastAsia="zh-CN" w:bidi="ar"/>
        </w:rPr>
        <w:t>提升</w:t>
      </w:r>
      <w:r>
        <w:rPr>
          <w:rFonts w:hint="eastAsia" w:ascii="仿宋_GB2312" w:hAnsi="仿宋_GB2312" w:eastAsia="仿宋_GB2312" w:cs="仿宋_GB2312"/>
          <w:color w:val="000000"/>
          <w:kern w:val="0"/>
          <w:sz w:val="32"/>
          <w:szCs w:val="32"/>
          <w:u w:val="none"/>
          <w:lang w:val="en-US" w:eastAsia="zh-CN" w:bidi="ar"/>
        </w:rPr>
        <w:t>我区特色夜市街区知名度</w:t>
      </w:r>
      <w:r>
        <w:rPr>
          <w:rFonts w:hint="eastAsia" w:ascii="仿宋_GB2312" w:hAnsi="仿宋_GB2312" w:cs="仿宋_GB2312"/>
          <w:color w:val="000000"/>
          <w:kern w:val="0"/>
          <w:sz w:val="32"/>
          <w:szCs w:val="32"/>
          <w:u w:val="none"/>
          <w:lang w:val="en-US" w:eastAsia="zh-CN" w:bidi="ar"/>
        </w:rPr>
        <w:t>。</w:t>
      </w:r>
      <w:r>
        <w:rPr>
          <w:rFonts w:hint="eastAsia" w:ascii="仿宋_GB2312" w:hAnsi="仿宋_GB2312" w:eastAsia="仿宋_GB2312" w:cs="仿宋_GB2312"/>
          <w:color w:val="000000"/>
          <w:kern w:val="0"/>
          <w:sz w:val="32"/>
          <w:szCs w:val="32"/>
          <w:u w:val="none"/>
          <w:lang w:val="en-US" w:eastAsia="zh-CN" w:bidi="ar"/>
        </w:rPr>
        <w:t>着力打造“首店、首进”品牌消费，成功引进西塔老太太星空店、江湖太郎旗舰黑金店等知名品牌落地落户。</w:t>
      </w:r>
    </w:p>
    <w:p w14:paraId="5571CC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（二）强化创新驱动，持续推动发展提质增效</w:t>
      </w:r>
    </w:p>
    <w:p w14:paraId="3A63CBE2">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一是创新能力不断加强。</w:t>
      </w:r>
      <w:r>
        <w:rPr>
          <w:rFonts w:hint="eastAsia" w:ascii="仿宋_GB2312" w:hAnsi="仿宋_GB2312" w:eastAsia="仿宋_GB2312" w:cs="仿宋_GB2312"/>
          <w:color w:val="auto"/>
          <w:sz w:val="32"/>
          <w:szCs w:val="32"/>
          <w:u w:val="none"/>
          <w:lang w:eastAsia="zh-CN"/>
        </w:rPr>
        <w:t>新增创新研发平台1家，亿元以上</w:t>
      </w:r>
      <w:r>
        <w:rPr>
          <w:rFonts w:hint="eastAsia" w:ascii="仿宋_GB2312" w:hAnsi="仿宋_GB2312" w:cs="仿宋_GB2312"/>
          <w:color w:val="auto"/>
          <w:sz w:val="32"/>
          <w:szCs w:val="32"/>
          <w:u w:val="none"/>
          <w:lang w:val="en-US" w:eastAsia="zh-CN"/>
        </w:rPr>
        <w:t>工业</w:t>
      </w:r>
      <w:r>
        <w:rPr>
          <w:rFonts w:hint="eastAsia" w:ascii="仿宋_GB2312" w:hAnsi="仿宋_GB2312" w:eastAsia="仿宋_GB2312" w:cs="仿宋_GB2312"/>
          <w:color w:val="auto"/>
          <w:sz w:val="32"/>
          <w:szCs w:val="32"/>
          <w:u w:val="none"/>
          <w:lang w:eastAsia="zh-CN"/>
        </w:rPr>
        <w:t>企业研发机构覆盖率</w:t>
      </w:r>
      <w:r>
        <w:rPr>
          <w:rFonts w:hint="eastAsia" w:ascii="仿宋_GB2312" w:hAnsi="仿宋_GB2312" w:cs="仿宋_GB2312"/>
          <w:color w:val="auto"/>
          <w:sz w:val="32"/>
          <w:szCs w:val="32"/>
          <w:u w:val="none"/>
          <w:lang w:val="en-US" w:eastAsia="zh-CN"/>
        </w:rPr>
        <w:t>达88.89</w:t>
      </w:r>
      <w:r>
        <w:rPr>
          <w:rFonts w:hint="eastAsia" w:ascii="仿宋_GB2312" w:hAnsi="仿宋_GB2312" w:eastAsia="仿宋_GB2312" w:cs="仿宋_GB2312"/>
          <w:color w:val="auto"/>
          <w:sz w:val="32"/>
          <w:szCs w:val="32"/>
          <w:u w:val="none"/>
          <w:lang w:eastAsia="zh-CN"/>
        </w:rPr>
        <w:t>%</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sz w:val="32"/>
          <w:szCs w:val="32"/>
          <w:u w:val="none"/>
          <w:lang w:val="en-US" w:eastAsia="zh-CN"/>
        </w:rPr>
        <w:t>全年登记技术合同</w:t>
      </w:r>
      <w:r>
        <w:rPr>
          <w:rFonts w:hint="eastAsia" w:ascii="仿宋_GB2312" w:hAnsi="仿宋_GB2312" w:cs="仿宋_GB2312"/>
          <w:sz w:val="32"/>
          <w:szCs w:val="32"/>
          <w:u w:val="none"/>
          <w:lang w:val="en-US" w:eastAsia="zh-CN"/>
        </w:rPr>
        <w:t>224</w:t>
      </w:r>
      <w:r>
        <w:rPr>
          <w:rFonts w:hint="eastAsia" w:ascii="仿宋_GB2312" w:hAnsi="仿宋_GB2312" w:eastAsia="仿宋_GB2312" w:cs="仿宋_GB2312"/>
          <w:sz w:val="32"/>
          <w:szCs w:val="32"/>
          <w:u w:val="none"/>
          <w:lang w:val="en-US" w:eastAsia="zh-CN"/>
        </w:rPr>
        <w:t>份，完成合同成交额59</w:t>
      </w:r>
      <w:r>
        <w:rPr>
          <w:rFonts w:hint="eastAsia" w:ascii="仿宋_GB2312" w:hAnsi="仿宋_GB2312" w:cs="仿宋_GB2312"/>
          <w:sz w:val="32"/>
          <w:szCs w:val="32"/>
          <w:u w:val="none"/>
          <w:lang w:val="en-US" w:eastAsia="zh-CN"/>
        </w:rPr>
        <w:t>.33</w:t>
      </w:r>
      <w:r>
        <w:rPr>
          <w:rFonts w:hint="eastAsia" w:ascii="仿宋_GB2312" w:hAnsi="仿宋_GB2312" w:eastAsia="仿宋_GB2312" w:cs="仿宋_GB2312"/>
          <w:sz w:val="32"/>
          <w:szCs w:val="32"/>
          <w:u w:val="none"/>
          <w:lang w:val="en-US" w:eastAsia="zh-CN"/>
        </w:rPr>
        <w:t>亿元</w:t>
      </w:r>
      <w:r>
        <w:rPr>
          <w:rFonts w:hint="eastAsia" w:ascii="仿宋_GB2312" w:hAnsi="仿宋_GB2312" w:cs="仿宋_GB2312"/>
          <w:sz w:val="32"/>
          <w:szCs w:val="32"/>
          <w:u w:val="none"/>
          <w:lang w:val="en-US" w:eastAsia="zh-CN"/>
        </w:rPr>
        <w:t>。为</w:t>
      </w:r>
      <w:r>
        <w:rPr>
          <w:rFonts w:hint="eastAsia" w:ascii="仿宋_GB2312" w:hAnsi="仿宋_GB2312" w:eastAsia="仿宋_GB2312" w:cs="仿宋_GB2312"/>
          <w:sz w:val="32"/>
          <w:szCs w:val="32"/>
          <w:u w:val="none"/>
          <w:lang w:val="en-US" w:eastAsia="zh-CN"/>
        </w:rPr>
        <w:t>科技型中小企业争取上级科技补助资金320万元</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u w:val="none"/>
          <w:lang w:val="en-US" w:eastAsia="zh-CN"/>
        </w:rPr>
        <w:t>江西普瑞丰生态科技有限公司被认定为2024年度江西省企业技术中心</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u w:val="none"/>
          <w:lang w:val="en-US" w:eastAsia="zh-CN"/>
        </w:rPr>
        <w:t>省化学工业设计院新能源材料开发工程技术研究中心成功获批2024年度市级工程技术研究中心。</w:t>
      </w:r>
    </w:p>
    <w:p w14:paraId="29E81779">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二是</w:t>
      </w:r>
      <w:r>
        <w:rPr>
          <w:rFonts w:hint="eastAsia" w:ascii="仿宋_GB2312" w:hAnsi="仿宋_GB2312" w:cs="仿宋_GB2312"/>
          <w:b/>
          <w:bCs/>
          <w:sz w:val="32"/>
          <w:szCs w:val="32"/>
          <w:u w:val="none"/>
          <w:lang w:val="en-US" w:eastAsia="zh-CN"/>
        </w:rPr>
        <w:t>企业</w:t>
      </w:r>
      <w:r>
        <w:rPr>
          <w:rFonts w:hint="eastAsia" w:ascii="仿宋_GB2312" w:hAnsi="仿宋_GB2312" w:eastAsia="仿宋_GB2312" w:cs="仿宋_GB2312"/>
          <w:b/>
          <w:bCs/>
          <w:sz w:val="32"/>
          <w:szCs w:val="32"/>
          <w:u w:val="none"/>
          <w:lang w:val="en-US" w:eastAsia="zh-CN"/>
        </w:rPr>
        <w:t>培育稳步推进。</w:t>
      </w:r>
      <w:r>
        <w:rPr>
          <w:rFonts w:hint="eastAsia" w:ascii="仿宋_GB2312" w:hAnsi="仿宋_GB2312" w:eastAsia="仿宋_GB2312" w:cs="仿宋_GB2312"/>
          <w:b w:val="0"/>
          <w:bCs w:val="0"/>
          <w:sz w:val="32"/>
          <w:szCs w:val="32"/>
          <w:highlight w:val="none"/>
          <w:u w:val="none"/>
          <w:lang w:val="en-US" w:eastAsia="zh-CN"/>
        </w:rPr>
        <w:t>新增“五上”企业99户，排名全市第3，净增81户，排名全市第3</w:t>
      </w:r>
      <w:r>
        <w:rPr>
          <w:rFonts w:hint="eastAsia" w:ascii="仿宋_GB2312" w:hAnsi="仿宋_GB2312" w:cs="仿宋_GB2312"/>
          <w:b w:val="0"/>
          <w:bCs w:val="0"/>
          <w:sz w:val="32"/>
          <w:szCs w:val="32"/>
          <w:highlight w:val="none"/>
          <w:u w:val="none"/>
          <w:lang w:val="en-US" w:eastAsia="zh-CN"/>
        </w:rPr>
        <w:t>。</w:t>
      </w:r>
      <w:r>
        <w:rPr>
          <w:rFonts w:hint="eastAsia" w:ascii="仿宋_GB2312" w:hAnsi="仿宋_GB2312" w:eastAsia="仿宋_GB2312" w:cs="仿宋_GB2312"/>
          <w:b w:val="0"/>
          <w:bCs w:val="0"/>
          <w:sz w:val="32"/>
          <w:szCs w:val="32"/>
          <w:u w:val="none"/>
          <w:lang w:val="en-US" w:eastAsia="zh-CN"/>
        </w:rPr>
        <w:t>积极推进试点行业内企业进行数字化转型</w:t>
      </w:r>
      <w:r>
        <w:rPr>
          <w:rFonts w:hint="eastAsia" w:ascii="仿宋_GB2312" w:hAnsi="仿宋_GB2312" w:cs="仿宋_GB2312"/>
          <w:b w:val="0"/>
          <w:bCs w:val="0"/>
          <w:sz w:val="32"/>
          <w:szCs w:val="32"/>
          <w:u w:val="none"/>
          <w:lang w:val="en-US" w:eastAsia="zh-CN"/>
        </w:rPr>
        <w:t>，</w:t>
      </w:r>
      <w:r>
        <w:rPr>
          <w:rFonts w:hint="eastAsia" w:ascii="仿宋_GB2312" w:hAnsi="仿宋_GB2312" w:eastAsia="仿宋_GB2312" w:cs="仿宋_GB2312"/>
          <w:b w:val="0"/>
          <w:bCs w:val="0"/>
          <w:sz w:val="32"/>
          <w:szCs w:val="32"/>
          <w:u w:val="none"/>
          <w:lang w:val="en-US" w:eastAsia="zh-CN"/>
        </w:rPr>
        <w:t>参与数字化转型企业10家，签约企业开工率排名全市第1，合同备案率排名全市第3。</w:t>
      </w:r>
      <w:r>
        <w:rPr>
          <w:rFonts w:hint="eastAsia" w:ascii="仿宋_GB2312" w:hAnsi="仿宋_GB2312" w:eastAsia="仿宋_GB2312" w:cs="仿宋_GB2312"/>
          <w:color w:val="auto"/>
          <w:sz w:val="32"/>
          <w:szCs w:val="32"/>
          <w:u w:val="none"/>
          <w:lang w:eastAsia="zh-CN"/>
        </w:rPr>
        <w:t>现有科技型中小企业204家、高新技术企业43家、独角兽（瞪羚）企业2家</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b w:val="0"/>
          <w:bCs w:val="0"/>
          <w:sz w:val="32"/>
          <w:szCs w:val="32"/>
          <w:u w:val="none"/>
          <w:lang w:val="en-US" w:eastAsia="zh-CN"/>
        </w:rPr>
        <w:t>省级专精特新企业29家</w:t>
      </w:r>
      <w:r>
        <w:rPr>
          <w:rFonts w:hint="eastAsia" w:ascii="仿宋_GB2312" w:hAnsi="仿宋_GB2312" w:cs="仿宋_GB2312"/>
          <w:color w:val="auto"/>
          <w:sz w:val="32"/>
          <w:szCs w:val="32"/>
          <w:u w:val="none"/>
          <w:lang w:eastAsia="zh-CN"/>
        </w:rPr>
        <w:t>。南昌嘉航农业科技发展有限公司获评省级服务业龙头企业。</w:t>
      </w:r>
    </w:p>
    <w:p w14:paraId="2461BF27">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bCs/>
          <w:sz w:val="32"/>
          <w:szCs w:val="32"/>
          <w:u w:val="none"/>
          <w:lang w:val="en-US" w:eastAsia="zh-CN"/>
        </w:rPr>
        <w:t>三是人才引育成效良好。</w:t>
      </w:r>
      <w:r>
        <w:rPr>
          <w:rFonts w:hint="eastAsia" w:ascii="仿宋_GB2312" w:hAnsi="仿宋_GB2312" w:eastAsia="仿宋_GB2312" w:cs="仿宋_GB2312"/>
          <w:color w:val="auto"/>
          <w:kern w:val="0"/>
          <w:sz w:val="32"/>
          <w:szCs w:val="32"/>
          <w:u w:val="none"/>
          <w:shd w:val="clear" w:color="auto" w:fill="auto"/>
          <w:lang w:val="en-US" w:eastAsia="zh-CN" w:bidi="ar"/>
        </w:rPr>
        <w:t>新建“赣才归巢”人才工作站</w:t>
      </w:r>
      <w:r>
        <w:rPr>
          <w:rFonts w:hint="eastAsia" w:ascii="仿宋_GB2312" w:hAnsi="仿宋_GB2312" w:cs="仿宋_GB2312"/>
          <w:color w:val="auto"/>
          <w:kern w:val="0"/>
          <w:sz w:val="32"/>
          <w:szCs w:val="32"/>
          <w:u w:val="none"/>
          <w:shd w:val="clear" w:color="auto" w:fill="auto"/>
          <w:lang w:val="en-US" w:eastAsia="zh-CN" w:bidi="ar"/>
        </w:rPr>
        <w:t>10</w:t>
      </w:r>
      <w:r>
        <w:rPr>
          <w:rFonts w:hint="eastAsia" w:ascii="仿宋_GB2312" w:hAnsi="仿宋_GB2312" w:eastAsia="仿宋_GB2312" w:cs="仿宋_GB2312"/>
          <w:color w:val="auto"/>
          <w:kern w:val="0"/>
          <w:sz w:val="32"/>
          <w:szCs w:val="32"/>
          <w:u w:val="none"/>
          <w:shd w:val="clear" w:color="auto" w:fill="auto"/>
          <w:lang w:val="en-US" w:eastAsia="zh-CN" w:bidi="ar"/>
        </w:rPr>
        <w:t>个</w:t>
      </w:r>
      <w:r>
        <w:rPr>
          <w:rFonts w:hint="eastAsia" w:ascii="仿宋_GB2312" w:hAnsi="仿宋_GB2312" w:cs="仿宋_GB2312"/>
          <w:color w:val="auto"/>
          <w:kern w:val="0"/>
          <w:sz w:val="32"/>
          <w:szCs w:val="32"/>
          <w:u w:val="none"/>
          <w:shd w:val="clear" w:color="auto" w:fill="auto"/>
          <w:lang w:val="en-US" w:eastAsia="zh-CN" w:bidi="ar"/>
        </w:rPr>
        <w:t>。</w:t>
      </w:r>
      <w:r>
        <w:rPr>
          <w:rFonts w:hint="eastAsia" w:ascii="仿宋_GB2312" w:hAnsi="仿宋_GB2312" w:eastAsia="仿宋_GB2312" w:cs="仿宋_GB2312"/>
          <w:color w:val="auto"/>
          <w:kern w:val="0"/>
          <w:sz w:val="32"/>
          <w:szCs w:val="32"/>
          <w:u w:val="none"/>
          <w:shd w:val="clear" w:color="auto" w:fill="auto"/>
          <w:lang w:bidi="ar"/>
        </w:rPr>
        <w:t>开展“百场校招”</w:t>
      </w:r>
      <w:r>
        <w:rPr>
          <w:rFonts w:hint="eastAsia" w:ascii="仿宋_GB2312" w:hAnsi="仿宋_GB2312" w:eastAsia="仿宋_GB2312" w:cs="仿宋_GB2312"/>
          <w:sz w:val="32"/>
          <w:szCs w:val="32"/>
          <w:shd w:val="clear" w:color="auto" w:fill="auto"/>
          <w:lang w:val="en-US" w:eastAsia="zh-CN"/>
        </w:rPr>
        <w:t>“才聚青云”</w:t>
      </w:r>
      <w:r>
        <w:rPr>
          <w:rFonts w:hint="eastAsia" w:ascii="仿宋_GB2312" w:hAnsi="仿宋_GB2312" w:eastAsia="仿宋_GB2312" w:cs="仿宋_GB2312"/>
          <w:color w:val="auto"/>
          <w:kern w:val="0"/>
          <w:sz w:val="32"/>
          <w:szCs w:val="32"/>
          <w:u w:val="none"/>
          <w:shd w:val="clear" w:color="auto" w:fill="auto"/>
          <w:lang w:bidi="ar"/>
        </w:rPr>
        <w:t>等各类招聘活动27</w:t>
      </w:r>
      <w:r>
        <w:rPr>
          <w:rFonts w:hint="eastAsia" w:ascii="仿宋_GB2312" w:hAnsi="仿宋_GB2312" w:cs="仿宋_GB2312"/>
          <w:color w:val="auto"/>
          <w:kern w:val="0"/>
          <w:sz w:val="32"/>
          <w:szCs w:val="32"/>
          <w:u w:val="none"/>
          <w:shd w:val="clear" w:color="auto" w:fill="auto"/>
          <w:lang w:val="en-US" w:eastAsia="zh-CN" w:bidi="ar"/>
        </w:rPr>
        <w:t>2</w:t>
      </w:r>
      <w:r>
        <w:rPr>
          <w:rFonts w:hint="eastAsia" w:ascii="仿宋_GB2312" w:hAnsi="仿宋_GB2312" w:eastAsia="仿宋_GB2312" w:cs="仿宋_GB2312"/>
          <w:color w:val="auto"/>
          <w:kern w:val="0"/>
          <w:sz w:val="32"/>
          <w:szCs w:val="32"/>
          <w:u w:val="none"/>
          <w:shd w:val="clear" w:color="auto" w:fill="auto"/>
          <w:lang w:bidi="ar"/>
        </w:rPr>
        <w:t>场</w:t>
      </w:r>
      <w:r>
        <w:rPr>
          <w:rFonts w:hint="eastAsia" w:ascii="仿宋_GB2312" w:hAnsi="仿宋_GB2312" w:cs="仿宋_GB2312"/>
          <w:color w:val="auto"/>
          <w:kern w:val="0"/>
          <w:sz w:val="32"/>
          <w:szCs w:val="32"/>
          <w:u w:val="none"/>
          <w:shd w:val="clear" w:color="auto" w:fill="auto"/>
          <w:lang w:eastAsia="zh-CN" w:bidi="ar"/>
        </w:rPr>
        <w:t>。</w:t>
      </w:r>
      <w:r>
        <w:rPr>
          <w:rFonts w:hint="eastAsia" w:ascii="仿宋_GB2312" w:hAnsi="仿宋_GB2312" w:eastAsia="仿宋_GB2312" w:cs="仿宋_GB2312"/>
          <w:sz w:val="32"/>
          <w:szCs w:val="32"/>
          <w:highlight w:val="none"/>
          <w:u w:val="none"/>
          <w:lang w:val="en-US" w:eastAsia="zh-CN"/>
        </w:rPr>
        <w:t>充分挖掘、辅导评定省级高层次人才48名，市级以上人才项目（工程）总量突破60人</w:t>
      </w:r>
      <w:r>
        <w:rPr>
          <w:rFonts w:hint="eastAsia" w:ascii="仿宋_GB2312" w:hAnsi="仿宋_GB2312" w:eastAsia="仿宋_GB2312" w:cs="仿宋_GB2312"/>
          <w:b w:val="0"/>
          <w:bCs w:val="0"/>
          <w:sz w:val="32"/>
          <w:szCs w:val="32"/>
          <w:highlight w:val="none"/>
          <w:u w:val="none"/>
          <w:lang w:val="en-US" w:eastAsia="zh-CN"/>
        </w:rPr>
        <w:t>。</w:t>
      </w:r>
      <w:r>
        <w:rPr>
          <w:rFonts w:hint="eastAsia" w:ascii="仿宋_GB2312" w:hAnsi="仿宋_GB2312" w:cs="仿宋_GB2312"/>
          <w:b w:val="0"/>
          <w:bCs w:val="0"/>
          <w:sz w:val="32"/>
          <w:szCs w:val="32"/>
          <w:highlight w:val="none"/>
          <w:u w:val="none"/>
          <w:lang w:val="en-US" w:eastAsia="zh-CN"/>
        </w:rPr>
        <w:t>1人入选“全国百名优秀首席法律咨询专家名单”，</w:t>
      </w:r>
      <w:r>
        <w:rPr>
          <w:rFonts w:hint="eastAsia" w:ascii="仿宋_GB2312" w:hAnsi="仿宋_GB2312" w:eastAsia="仿宋_GB2312" w:cs="仿宋_GB2312"/>
          <w:b w:val="0"/>
          <w:bCs w:val="0"/>
          <w:sz w:val="32"/>
          <w:szCs w:val="32"/>
          <w:highlight w:val="none"/>
          <w:u w:val="none"/>
          <w:lang w:val="en-US" w:eastAsia="zh-CN"/>
        </w:rPr>
        <w:t>1人</w:t>
      </w:r>
      <w:r>
        <w:rPr>
          <w:rFonts w:hint="eastAsia" w:ascii="仿宋_GB2312" w:hAnsi="仿宋_GB2312" w:eastAsia="仿宋_GB2312" w:cs="仿宋_GB2312"/>
          <w:color w:val="auto"/>
          <w:kern w:val="0"/>
          <w:sz w:val="32"/>
          <w:szCs w:val="32"/>
          <w:u w:val="none"/>
          <w:shd w:val="clear" w:color="auto" w:fill="auto"/>
          <w:lang w:bidi="ar"/>
        </w:rPr>
        <w:t>入选省“赣鄱俊才支持计划”</w:t>
      </w:r>
      <w:r>
        <w:rPr>
          <w:rFonts w:hint="eastAsia" w:ascii="仿宋_GB2312" w:hAnsi="仿宋_GB2312" w:eastAsia="仿宋_GB2312" w:cs="仿宋_GB2312"/>
          <w:color w:val="auto"/>
          <w:kern w:val="0"/>
          <w:sz w:val="32"/>
          <w:szCs w:val="32"/>
          <w:u w:val="none"/>
          <w:shd w:val="clear" w:color="auto" w:fill="auto"/>
          <w:lang w:eastAsia="zh-CN" w:bidi="ar"/>
        </w:rPr>
        <w:t>，</w:t>
      </w:r>
      <w:r>
        <w:rPr>
          <w:rFonts w:hint="eastAsia" w:ascii="仿宋_GB2312" w:hAnsi="仿宋_GB2312" w:eastAsia="仿宋_GB2312" w:cs="仿宋_GB2312"/>
          <w:color w:val="000000"/>
          <w:kern w:val="0"/>
          <w:sz w:val="32"/>
          <w:szCs w:val="32"/>
          <w:u w:val="none"/>
          <w:lang w:val="en-US" w:eastAsia="zh-CN" w:bidi="ar"/>
        </w:rPr>
        <w:t>1人首次获评“市级双高人才”，1人入选2024年新时代“洪城技师</w:t>
      </w:r>
      <w:r>
        <w:rPr>
          <w:rFonts w:hint="eastAsia" w:ascii="仿宋_GB2312" w:hAnsi="仿宋_GB2312" w:eastAsia="仿宋_GB2312" w:cs="仿宋_GB2312"/>
          <w:sz w:val="32"/>
          <w:szCs w:val="32"/>
          <w:highlight w:val="none"/>
          <w:u w:val="none"/>
          <w:lang w:val="en-US" w:eastAsia="zh-CN"/>
        </w:rPr>
        <w:t>”。</w:t>
      </w:r>
    </w:p>
    <w:p w14:paraId="626599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（三）深化改革开放，不断增强发展动力活力</w:t>
      </w:r>
    </w:p>
    <w:p w14:paraId="68F4A09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sz w:val="32"/>
          <w:szCs w:val="32"/>
          <w:u w:val="none"/>
          <w:lang w:val="en-US" w:eastAsia="zh-CN"/>
        </w:rPr>
        <w:t>一是营商环境持续优化。</w:t>
      </w:r>
      <w:r>
        <w:rPr>
          <w:rFonts w:hint="eastAsia" w:ascii="仿宋_GB2312" w:hAnsi="仿宋_GB2312" w:eastAsia="仿宋_GB2312" w:cs="仿宋_GB2312"/>
          <w:sz w:val="32"/>
          <w:szCs w:val="32"/>
          <w:u w:val="none"/>
          <w:lang w:val="en-US" w:eastAsia="zh-CN"/>
        </w:rPr>
        <w:t>大力推进政务服务“网上办”，促进青云谱区“青松办”迭代升级，完成1.0</w:t>
      </w:r>
      <w:r>
        <w:rPr>
          <w:rFonts w:hint="eastAsia" w:ascii="仿宋_GB2312" w:hAnsi="仿宋_GB2312" w:cs="仿宋_GB2312"/>
          <w:sz w:val="32"/>
          <w:szCs w:val="32"/>
          <w:u w:val="none"/>
          <w:lang w:val="en-US" w:eastAsia="zh-CN"/>
        </w:rPr>
        <w:t>版</w:t>
      </w:r>
      <w:r>
        <w:rPr>
          <w:rFonts w:hint="eastAsia" w:ascii="仿宋_GB2312" w:hAnsi="仿宋_GB2312" w:eastAsia="仿宋_GB2312" w:cs="仿宋_GB2312"/>
          <w:sz w:val="32"/>
          <w:szCs w:val="32"/>
          <w:u w:val="none"/>
          <w:lang w:val="en-US" w:eastAsia="zh-CN"/>
        </w:rPr>
        <w:t>向2.0版提升</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u w:val="none"/>
          <w:lang w:val="en-US" w:eastAsia="zh-CN"/>
        </w:rPr>
        <w:t>政务</w:t>
      </w:r>
      <w:r>
        <w:rPr>
          <w:rFonts w:hint="eastAsia" w:ascii="仿宋_GB2312" w:hAnsi="仿宋_GB2312" w:eastAsia="仿宋_GB2312" w:cs="仿宋_GB2312"/>
          <w:sz w:val="32"/>
          <w:szCs w:val="32"/>
          <w:highlight w:val="none"/>
          <w:u w:val="none"/>
          <w:lang w:val="en-US" w:eastAsia="zh-CN"/>
        </w:rPr>
        <w:t>大厅办理事项8.2万件，政务事项网上可办率、好差评系统差评整改率、赣服通查询事项覆盖率和一件事上线率等均达100%</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青云谱知识产权保护分中心进驻云观数字产业园，对生物医药、电子信息等领域实行快速预审、快速授权。</w:t>
      </w:r>
    </w:p>
    <w:p w14:paraId="024B4F2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仿宋_GB2312" w:hAnsi="仿宋_GB2312" w:eastAsia="仿宋_GB2312" w:cs="仿宋_GB2312"/>
          <w:sz w:val="32"/>
          <w:szCs w:val="32"/>
          <w:highlight w:val="yellow"/>
          <w:u w:val="none"/>
          <w:lang w:val="en-US" w:eastAsia="zh-CN"/>
        </w:rPr>
      </w:pPr>
      <w:r>
        <w:rPr>
          <w:rFonts w:hint="eastAsia" w:ascii="仿宋_GB2312" w:hAnsi="仿宋_GB2312" w:eastAsia="仿宋_GB2312" w:cs="仿宋_GB2312"/>
          <w:b/>
          <w:bCs/>
          <w:sz w:val="32"/>
          <w:szCs w:val="32"/>
          <w:u w:val="none"/>
          <w:lang w:val="en-US" w:eastAsia="zh-CN"/>
        </w:rPr>
        <w:t>二是融资渠道不断畅通。</w:t>
      </w:r>
      <w:r>
        <w:rPr>
          <w:rFonts w:hint="eastAsia" w:ascii="仿宋_GB2312" w:hAnsi="仿宋_GB2312" w:eastAsia="仿宋_GB2312" w:cs="仿宋_GB2312"/>
          <w:color w:val="auto"/>
          <w:sz w:val="32"/>
          <w:szCs w:val="32"/>
          <w:shd w:val="clear" w:color="auto" w:fill="auto"/>
          <w:lang w:eastAsia="zh-CN"/>
        </w:rPr>
        <w:t>通过</w:t>
      </w:r>
      <w:r>
        <w:rPr>
          <w:rFonts w:hint="eastAsia" w:ascii="仿宋_GB2312" w:hAnsi="仿宋_GB2312" w:eastAsia="仿宋_GB2312" w:cs="仿宋_GB2312"/>
          <w:color w:val="auto"/>
          <w:sz w:val="32"/>
          <w:szCs w:val="32"/>
          <w:u w:val="none"/>
          <w:shd w:val="clear" w:color="auto" w:fill="auto"/>
          <w:lang w:eastAsia="zh-CN"/>
        </w:rPr>
        <w:t>“千企万户大走访”</w:t>
      </w:r>
      <w:r>
        <w:rPr>
          <w:rFonts w:hint="eastAsia" w:ascii="仿宋_GB2312" w:hAnsi="仿宋_GB2312" w:eastAsia="仿宋_GB2312" w:cs="仿宋_GB2312"/>
          <w:color w:val="auto"/>
          <w:sz w:val="32"/>
          <w:szCs w:val="32"/>
          <w:u w:val="none"/>
          <w:shd w:val="clear" w:color="auto" w:fill="auto"/>
          <w:lang w:val="en-US" w:eastAsia="zh-CN"/>
        </w:rPr>
        <w:t>走访</w:t>
      </w:r>
      <w:r>
        <w:rPr>
          <w:rFonts w:hint="eastAsia" w:ascii="仿宋_GB2312" w:hAnsi="仿宋_GB2312" w:eastAsia="仿宋_GB2312" w:cs="仿宋_GB2312"/>
          <w:sz w:val="32"/>
          <w:szCs w:val="32"/>
          <w:highlight w:val="none"/>
          <w:u w:val="none"/>
          <w:lang w:val="en-US" w:eastAsia="zh-CN"/>
        </w:rPr>
        <w:t>企业6</w:t>
      </w:r>
      <w:r>
        <w:rPr>
          <w:rFonts w:hint="eastAsia" w:ascii="仿宋_GB2312" w:hAnsi="仿宋_GB2312" w:cs="仿宋_GB2312"/>
          <w:sz w:val="32"/>
          <w:szCs w:val="32"/>
          <w:highlight w:val="none"/>
          <w:u w:val="none"/>
          <w:lang w:val="en-US" w:eastAsia="zh-CN"/>
        </w:rPr>
        <w:t>500余</w:t>
      </w:r>
      <w:r>
        <w:rPr>
          <w:rFonts w:hint="eastAsia" w:ascii="仿宋_GB2312" w:hAnsi="仿宋_GB2312" w:eastAsia="仿宋_GB2312" w:cs="仿宋_GB2312"/>
          <w:sz w:val="32"/>
          <w:szCs w:val="32"/>
          <w:highlight w:val="none"/>
          <w:u w:val="none"/>
          <w:lang w:val="en-US" w:eastAsia="zh-CN"/>
        </w:rPr>
        <w:t>家，</w:t>
      </w:r>
      <w:r>
        <w:rPr>
          <w:rFonts w:hint="eastAsia" w:ascii="仿宋_GB2312" w:hAnsi="仿宋_GB2312" w:eastAsia="仿宋_GB2312" w:cs="仿宋_GB2312"/>
          <w:color w:val="auto"/>
          <w:sz w:val="32"/>
          <w:szCs w:val="32"/>
          <w:u w:val="none"/>
          <w:shd w:val="clear" w:color="auto" w:fill="auto"/>
          <w:lang w:val="en-US" w:eastAsia="zh-CN"/>
        </w:rPr>
        <w:t>解决融资需求</w:t>
      </w:r>
      <w:r>
        <w:rPr>
          <w:rFonts w:hint="eastAsia" w:ascii="仿宋_GB2312" w:hAnsi="仿宋_GB2312" w:cs="仿宋_GB2312"/>
          <w:color w:val="auto"/>
          <w:sz w:val="32"/>
          <w:szCs w:val="32"/>
          <w:highlight w:val="none"/>
          <w:u w:val="none"/>
          <w:shd w:val="clear" w:color="auto" w:fill="auto"/>
          <w:lang w:val="en-US" w:eastAsia="zh-CN"/>
        </w:rPr>
        <w:t>9.18</w:t>
      </w:r>
      <w:r>
        <w:rPr>
          <w:rFonts w:hint="eastAsia" w:ascii="仿宋_GB2312" w:hAnsi="仿宋_GB2312" w:eastAsia="仿宋_GB2312" w:cs="仿宋_GB2312"/>
          <w:color w:val="auto"/>
          <w:sz w:val="32"/>
          <w:szCs w:val="32"/>
          <w:highlight w:val="none"/>
          <w:u w:val="none"/>
          <w:shd w:val="clear" w:color="auto" w:fill="auto"/>
          <w:lang w:val="en-US" w:eastAsia="zh-CN"/>
        </w:rPr>
        <w:t>亿元</w:t>
      </w:r>
      <w:r>
        <w:rPr>
          <w:rFonts w:hint="eastAsia" w:ascii="仿宋_GB2312" w:hAnsi="仿宋_GB2312" w:cs="仿宋_GB2312"/>
          <w:color w:val="auto"/>
          <w:sz w:val="32"/>
          <w:szCs w:val="32"/>
          <w:highlight w:val="none"/>
          <w:u w:val="none"/>
          <w:shd w:val="clear" w:color="auto" w:fill="auto"/>
          <w:lang w:val="en-US" w:eastAsia="zh-CN"/>
        </w:rPr>
        <w:t>。</w:t>
      </w:r>
      <w:r>
        <w:rPr>
          <w:rFonts w:hint="eastAsia" w:ascii="仿宋_GB2312" w:hAnsi="仿宋_GB2312" w:eastAsia="仿宋_GB2312" w:cs="仿宋_GB2312"/>
          <w:color w:val="auto"/>
          <w:sz w:val="32"/>
          <w:szCs w:val="32"/>
          <w:highlight w:val="none"/>
          <w:u w:val="none"/>
          <w:shd w:val="clear" w:color="auto" w:fill="auto"/>
        </w:rPr>
        <w:t>兑现企业扶持资金</w:t>
      </w:r>
      <w:r>
        <w:rPr>
          <w:rFonts w:hint="eastAsia" w:ascii="仿宋_GB2312" w:hAnsi="仿宋_GB2312" w:cs="仿宋_GB2312"/>
          <w:color w:val="auto"/>
          <w:sz w:val="32"/>
          <w:szCs w:val="32"/>
          <w:highlight w:val="none"/>
          <w:u w:val="none"/>
          <w:shd w:val="clear" w:color="auto" w:fill="auto"/>
          <w:lang w:val="en-US" w:eastAsia="zh-CN"/>
        </w:rPr>
        <w:t>3343</w:t>
      </w:r>
      <w:r>
        <w:rPr>
          <w:rFonts w:hint="eastAsia" w:ascii="仿宋_GB2312" w:hAnsi="仿宋_GB2312" w:eastAsia="仿宋_GB2312" w:cs="仿宋_GB2312"/>
          <w:color w:val="auto"/>
          <w:sz w:val="32"/>
          <w:szCs w:val="32"/>
          <w:highlight w:val="none"/>
          <w:u w:val="none"/>
          <w:shd w:val="clear" w:color="auto" w:fill="auto"/>
          <w:lang w:val="en-US" w:eastAsia="zh-CN"/>
        </w:rPr>
        <w:t>余</w:t>
      </w:r>
      <w:r>
        <w:rPr>
          <w:rFonts w:hint="eastAsia" w:ascii="仿宋_GB2312" w:hAnsi="仿宋_GB2312" w:eastAsia="仿宋_GB2312" w:cs="仿宋_GB2312"/>
          <w:color w:val="auto"/>
          <w:sz w:val="32"/>
          <w:szCs w:val="32"/>
          <w:highlight w:val="none"/>
          <w:u w:val="none"/>
          <w:shd w:val="clear" w:color="auto" w:fill="auto"/>
        </w:rPr>
        <w:t>万元</w:t>
      </w:r>
      <w:r>
        <w:rPr>
          <w:rFonts w:hint="eastAsia" w:ascii="仿宋_GB2312" w:hAnsi="仿宋_GB2312" w:cs="仿宋_GB2312"/>
          <w:color w:val="auto"/>
          <w:sz w:val="32"/>
          <w:szCs w:val="32"/>
          <w:highlight w:val="none"/>
          <w:u w:val="none"/>
          <w:shd w:val="clear" w:color="auto" w:fill="auto"/>
          <w:lang w:eastAsia="zh-CN"/>
        </w:rPr>
        <w:t>。</w:t>
      </w:r>
      <w:r>
        <w:rPr>
          <w:rFonts w:hint="eastAsia" w:ascii="仿宋_GB2312" w:hAnsi="仿宋_GB2312" w:eastAsia="仿宋_GB2312" w:cs="仿宋_GB2312"/>
          <w:color w:val="auto"/>
          <w:sz w:val="32"/>
          <w:szCs w:val="32"/>
          <w:highlight w:val="none"/>
          <w:u w:val="none"/>
          <w:shd w:val="clear" w:color="auto" w:fill="auto"/>
        </w:rPr>
        <w:t>发放“财园信贷通”贷款1.</w:t>
      </w:r>
      <w:r>
        <w:rPr>
          <w:rFonts w:hint="eastAsia" w:ascii="仿宋_GB2312" w:hAnsi="仿宋_GB2312" w:cs="仿宋_GB2312"/>
          <w:color w:val="auto"/>
          <w:sz w:val="32"/>
          <w:szCs w:val="32"/>
          <w:highlight w:val="none"/>
          <w:u w:val="none"/>
          <w:lang w:val="en-US" w:eastAsia="zh-CN"/>
        </w:rPr>
        <w:t>46</w:t>
      </w:r>
      <w:r>
        <w:rPr>
          <w:rFonts w:hint="eastAsia" w:ascii="仿宋_GB2312" w:hAnsi="仿宋_GB2312" w:eastAsia="仿宋_GB2312" w:cs="仿宋_GB2312"/>
          <w:color w:val="auto"/>
          <w:sz w:val="32"/>
          <w:szCs w:val="32"/>
          <w:highlight w:val="none"/>
          <w:u w:val="none"/>
          <w:shd w:val="clear" w:color="auto" w:fill="auto"/>
        </w:rPr>
        <w:t>亿元</w:t>
      </w:r>
      <w:r>
        <w:rPr>
          <w:rFonts w:hint="eastAsia" w:ascii="仿宋_GB2312" w:hAnsi="仿宋_GB2312" w:cs="仿宋_GB2312"/>
          <w:color w:val="auto"/>
          <w:sz w:val="32"/>
          <w:szCs w:val="32"/>
          <w:highlight w:val="none"/>
          <w:u w:val="none"/>
          <w:shd w:val="clear" w:color="auto" w:fill="auto"/>
          <w:lang w:eastAsia="zh-CN"/>
        </w:rPr>
        <w:t>。</w:t>
      </w:r>
      <w:r>
        <w:rPr>
          <w:rFonts w:hint="eastAsia" w:ascii="仿宋_GB2312" w:hAnsi="仿宋_GB2312" w:eastAsia="仿宋_GB2312" w:cs="仿宋_GB2312"/>
          <w:color w:val="auto"/>
          <w:sz w:val="32"/>
          <w:szCs w:val="32"/>
          <w:u w:val="none"/>
          <w:shd w:val="clear" w:color="auto" w:fill="auto"/>
        </w:rPr>
        <w:t>普惠金融服务平台线上系统促成授信60.99亿元</w:t>
      </w:r>
      <w:r>
        <w:rPr>
          <w:rFonts w:hint="eastAsia" w:ascii="仿宋_GB2312" w:hAnsi="仿宋_GB2312" w:eastAsia="仿宋_GB2312" w:cs="仿宋_GB2312"/>
          <w:color w:val="auto"/>
          <w:sz w:val="32"/>
          <w:szCs w:val="32"/>
          <w:u w:val="none"/>
          <w:shd w:val="clear" w:color="auto" w:fill="auto"/>
          <w:lang w:eastAsia="zh-CN"/>
        </w:rPr>
        <w:t>。</w:t>
      </w:r>
      <w:r>
        <w:rPr>
          <w:rFonts w:hint="eastAsia" w:ascii="仿宋_GB2312" w:hAnsi="仿宋_GB2312" w:eastAsia="仿宋_GB2312" w:cs="仿宋_GB2312"/>
          <w:b w:val="0"/>
          <w:bCs w:val="0"/>
          <w:kern w:val="0"/>
          <w:sz w:val="32"/>
          <w:szCs w:val="32"/>
          <w:highlight w:val="none"/>
          <w:u w:val="none"/>
          <w:lang w:val="en-US" w:eastAsia="zh-CN"/>
        </w:rPr>
        <w:t>整合利用好南昌市中小企业融资直通车平台，累计授信金额1680万元。</w:t>
      </w:r>
    </w:p>
    <w:p w14:paraId="227ABADD">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both"/>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三是招商引资成果显著。</w:t>
      </w:r>
      <w:r>
        <w:rPr>
          <w:rFonts w:hint="eastAsia" w:ascii="仿宋_GB2312" w:hAnsi="仿宋_GB2312" w:eastAsia="仿宋_GB2312" w:cs="仿宋_GB2312"/>
          <w:sz w:val="32"/>
          <w:szCs w:val="32"/>
          <w:highlight w:val="none"/>
          <w:u w:val="none"/>
          <w:lang w:val="en-US" w:eastAsia="zh-CN"/>
        </w:rPr>
        <w:t>今年以来，赴北京、上海、广东等重点区域外出招商共计11批次，考察对接了SGS总部、中科北生（北京）控股等重点企业，形成了一批招商成果。新签约项目62个，签约金额64.62亿元，引进雷数科技、龙来福生物科技等高品质服务业项目</w:t>
      </w:r>
      <w:r>
        <w:rPr>
          <w:rFonts w:hint="eastAsia" w:ascii="仿宋_GB2312" w:hAnsi="仿宋_GB2312" w:cs="仿宋_GB2312"/>
          <w:sz w:val="32"/>
          <w:szCs w:val="32"/>
          <w:highlight w:val="none"/>
          <w:u w:val="none"/>
          <w:lang w:val="en-US" w:eastAsia="zh-CN"/>
        </w:rPr>
        <w:t>15</w:t>
      </w:r>
      <w:r>
        <w:rPr>
          <w:rFonts w:hint="eastAsia" w:ascii="仿宋_GB2312" w:hAnsi="仿宋_GB2312" w:eastAsia="仿宋_GB2312" w:cs="仿宋_GB2312"/>
          <w:sz w:val="32"/>
          <w:szCs w:val="32"/>
          <w:highlight w:val="none"/>
          <w:u w:val="none"/>
          <w:lang w:val="en-US" w:eastAsia="zh-CN"/>
        </w:rPr>
        <w:t>个，引进好药师大药房江西区域总部等优强项目</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62个签约项目当中，实际已开工52个，开工率83.87%</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实际已投产项目33个，投产率53.22%。</w:t>
      </w:r>
    </w:p>
    <w:p w14:paraId="0C8C4F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（四）提升功能品质，切实提高城市综合能级</w:t>
      </w:r>
    </w:p>
    <w:p w14:paraId="38C85E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一是城市功能更加完善。</w:t>
      </w:r>
      <w:r>
        <w:rPr>
          <w:rFonts w:hint="eastAsia" w:ascii="仿宋_GB2312" w:hAnsi="仿宋_GB2312" w:eastAsia="仿宋_GB2312" w:cs="仿宋_GB2312"/>
          <w:b w:val="0"/>
          <w:bCs/>
          <w:color w:val="auto"/>
          <w:sz w:val="32"/>
          <w:szCs w:val="32"/>
          <w:u w:val="none"/>
          <w:shd w:val="clear" w:color="auto" w:fill="auto"/>
          <w:lang w:val="en-US" w:eastAsia="zh-CN"/>
        </w:rPr>
        <w:t>洪腾高架、上海路南延实现通车，</w:t>
      </w:r>
      <w:r>
        <w:rPr>
          <w:rFonts w:hint="eastAsia" w:ascii="仿宋_GB2312" w:hAnsi="仿宋_GB2312" w:eastAsia="仿宋_GB2312" w:cs="仿宋_GB2312"/>
          <w:color w:val="auto"/>
          <w:sz w:val="32"/>
          <w:szCs w:val="32"/>
          <w:u w:val="none"/>
          <w:lang w:val="en-US" w:eastAsia="zh-CN"/>
        </w:rPr>
        <w:t>打通新居路等</w:t>
      </w:r>
      <w:r>
        <w:rPr>
          <w:rFonts w:hint="eastAsia" w:ascii="仿宋_GB2312" w:hAnsi="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lang w:val="en-US" w:eastAsia="zh-CN"/>
        </w:rPr>
        <w:t>条“断头路”，</w:t>
      </w:r>
      <w:r>
        <w:rPr>
          <w:rFonts w:hint="eastAsia" w:ascii="仿宋_GB2312" w:hAnsi="仿宋_GB2312" w:eastAsia="仿宋_GB2312" w:cs="仿宋_GB2312"/>
          <w:bCs/>
          <w:color w:val="auto"/>
          <w:sz w:val="32"/>
          <w:szCs w:val="32"/>
          <w:highlight w:val="none"/>
          <w:u w:val="none"/>
          <w:shd w:val="clear" w:color="auto" w:fill="auto"/>
        </w:rPr>
        <w:t>洪都老厂区及周边区域</w:t>
      </w:r>
      <w:r>
        <w:rPr>
          <w:rFonts w:hint="eastAsia" w:ascii="仿宋_GB2312" w:hAnsi="仿宋_GB2312" w:eastAsia="仿宋_GB2312" w:cs="仿宋_GB2312"/>
          <w:b w:val="0"/>
          <w:bCs/>
          <w:color w:val="auto"/>
          <w:sz w:val="32"/>
          <w:szCs w:val="32"/>
          <w:highlight w:val="none"/>
          <w:u w:val="none"/>
          <w:shd w:val="clear" w:color="auto" w:fill="auto"/>
          <w:lang w:val="en-US" w:eastAsia="zh-CN"/>
        </w:rPr>
        <w:t>支</w:t>
      </w:r>
      <w:r>
        <w:rPr>
          <w:rFonts w:hint="eastAsia" w:ascii="仿宋_GB2312" w:hAnsi="仿宋_GB2312" w:eastAsia="仿宋_GB2312" w:cs="仿宋_GB2312"/>
          <w:b w:val="0"/>
          <w:bCs/>
          <w:color w:val="auto"/>
          <w:sz w:val="32"/>
          <w:szCs w:val="32"/>
          <w:u w:val="none"/>
          <w:shd w:val="clear" w:color="auto" w:fill="auto"/>
          <w:lang w:val="en-US" w:eastAsia="zh-CN"/>
        </w:rPr>
        <w:t>路总长度突破25公里</w:t>
      </w:r>
      <w:r>
        <w:rPr>
          <w:rFonts w:hint="eastAsia" w:ascii="仿宋_GB2312" w:hAnsi="仿宋_GB2312" w:cs="仿宋_GB2312"/>
          <w:color w:val="auto"/>
          <w:sz w:val="32"/>
          <w:szCs w:val="32"/>
          <w:u w:val="none"/>
          <w:lang w:val="en-US" w:eastAsia="zh-CN"/>
        </w:rPr>
        <w:t>。</w:t>
      </w:r>
      <w:r>
        <w:rPr>
          <w:rFonts w:hint="eastAsia" w:ascii="仿宋_GB2312" w:hAnsi="仿宋_GB2312" w:eastAsia="仿宋_GB2312" w:cs="仿宋_GB2312"/>
          <w:sz w:val="32"/>
          <w:szCs w:val="32"/>
          <w:u w:val="none"/>
          <w:lang w:val="en-US" w:eastAsia="zh-CN"/>
        </w:rPr>
        <w:t>实施老旧小区改造项目，工程涉及17个小区195栋，惠及居民户数630</w:t>
      </w:r>
      <w:r>
        <w:rPr>
          <w:rFonts w:hint="eastAsia" w:ascii="仿宋_GB2312" w:hAnsi="仿宋_GB2312" w:cs="仿宋_GB2312"/>
          <w:sz w:val="32"/>
          <w:szCs w:val="32"/>
          <w:u w:val="none"/>
          <w:lang w:val="en-US" w:eastAsia="zh-CN"/>
        </w:rPr>
        <w:t>0</w:t>
      </w:r>
      <w:r>
        <w:rPr>
          <w:rFonts w:hint="eastAsia" w:ascii="仿宋_GB2312" w:hAnsi="仿宋_GB2312" w:eastAsia="仿宋_GB2312" w:cs="仿宋_GB2312"/>
          <w:sz w:val="32"/>
          <w:szCs w:val="32"/>
          <w:u w:val="none"/>
          <w:lang w:val="en-US" w:eastAsia="zh-CN"/>
        </w:rPr>
        <w:t>户</w:t>
      </w:r>
      <w:r>
        <w:rPr>
          <w:rFonts w:hint="eastAsia" w:ascii="仿宋_GB2312" w:hAnsi="仿宋_GB2312" w:eastAsia="仿宋_GB2312" w:cs="仿宋_GB2312"/>
          <w:color w:val="auto"/>
          <w:sz w:val="32"/>
          <w:szCs w:val="32"/>
          <w:highlight w:val="none"/>
          <w:u w:val="none"/>
          <w:shd w:val="clear" w:color="auto" w:fill="auto"/>
          <w:lang w:val="en-US" w:eastAsia="zh-CN"/>
        </w:rPr>
        <w:t>，</w:t>
      </w:r>
      <w:r>
        <w:rPr>
          <w:rFonts w:hint="eastAsia" w:ascii="仿宋_GB2312" w:hAnsi="仿宋_GB2312" w:eastAsia="仿宋_GB2312" w:cs="仿宋_GB2312"/>
          <w:b w:val="0"/>
          <w:bCs w:val="0"/>
          <w:color w:val="auto"/>
          <w:sz w:val="32"/>
          <w:szCs w:val="32"/>
          <w:highlight w:val="none"/>
          <w:u w:val="none"/>
          <w:shd w:val="clear" w:color="auto" w:fill="auto"/>
          <w:lang w:val="en-US" w:eastAsia="zh-CN"/>
        </w:rPr>
        <w:t>完成既有住宅加装电梯</w:t>
      </w:r>
      <w:r>
        <w:rPr>
          <w:rFonts w:hint="eastAsia" w:ascii="仿宋_GB2312" w:hAnsi="仿宋_GB2312" w:cs="仿宋_GB2312"/>
          <w:b w:val="0"/>
          <w:bCs w:val="0"/>
          <w:color w:val="auto"/>
          <w:sz w:val="32"/>
          <w:szCs w:val="32"/>
          <w:highlight w:val="none"/>
          <w:u w:val="none"/>
          <w:shd w:val="clear" w:color="auto" w:fill="auto"/>
          <w:lang w:val="en-US" w:eastAsia="zh-CN"/>
        </w:rPr>
        <w:t>18</w:t>
      </w:r>
      <w:r>
        <w:rPr>
          <w:rFonts w:hint="eastAsia" w:ascii="仿宋_GB2312" w:hAnsi="仿宋_GB2312" w:eastAsia="仿宋_GB2312" w:cs="仿宋_GB2312"/>
          <w:b w:val="0"/>
          <w:bCs w:val="0"/>
          <w:color w:val="auto"/>
          <w:sz w:val="32"/>
          <w:szCs w:val="32"/>
          <w:highlight w:val="none"/>
          <w:u w:val="none"/>
          <w:shd w:val="clear" w:color="auto" w:fill="auto"/>
          <w:lang w:val="en-US" w:eastAsia="zh-CN"/>
        </w:rPr>
        <w:t>台</w:t>
      </w:r>
      <w:r>
        <w:rPr>
          <w:rFonts w:hint="eastAsia" w:ascii="仿宋_GB2312" w:hAnsi="仿宋_GB2312" w:cs="仿宋_GB2312"/>
          <w:b w:val="0"/>
          <w:bCs w:val="0"/>
          <w:color w:val="auto"/>
          <w:sz w:val="32"/>
          <w:szCs w:val="32"/>
          <w:highlight w:val="none"/>
          <w:u w:val="none"/>
          <w:shd w:val="clear" w:color="auto" w:fill="auto"/>
          <w:lang w:val="en-US" w:eastAsia="zh-CN"/>
        </w:rPr>
        <w:t>。</w:t>
      </w:r>
      <w:r>
        <w:rPr>
          <w:rFonts w:hint="eastAsia" w:ascii="仿宋_GB2312" w:hAnsi="仿宋_GB2312" w:eastAsia="仿宋_GB2312" w:cs="仿宋_GB2312"/>
          <w:color w:val="000000"/>
          <w:sz w:val="32"/>
          <w:szCs w:val="32"/>
          <w:highlight w:val="none"/>
          <w:u w:val="none"/>
        </w:rPr>
        <w:t>建有电动汽车充电站点26个，充电桩数量289根</w:t>
      </w:r>
      <w:r>
        <w:rPr>
          <w:rFonts w:hint="eastAsia" w:ascii="仿宋_GB2312" w:hAnsi="仿宋_GB2312" w:cs="仿宋_GB2312"/>
          <w:color w:val="000000"/>
          <w:sz w:val="32"/>
          <w:szCs w:val="32"/>
          <w:highlight w:val="none"/>
          <w:u w:val="none"/>
          <w:lang w:eastAsia="zh-CN"/>
        </w:rPr>
        <w:t>。</w:t>
      </w:r>
      <w:r>
        <w:rPr>
          <w:rFonts w:hint="eastAsia" w:ascii="仿宋_GB2312" w:hAnsi="仿宋_GB2312" w:eastAsia="仿宋_GB2312" w:cs="仿宋_GB2312"/>
          <w:color w:val="000000"/>
          <w:sz w:val="32"/>
          <w:szCs w:val="32"/>
          <w:highlight w:val="none"/>
          <w:u w:val="none"/>
          <w:lang w:val="en-US" w:eastAsia="zh-CN"/>
        </w:rPr>
        <w:t>推进雨污分流项目建设，完成</w:t>
      </w:r>
      <w:r>
        <w:rPr>
          <w:rFonts w:hint="eastAsia" w:ascii="仿宋_GB2312" w:hAnsi="仿宋_GB2312" w:cs="仿宋_GB2312"/>
          <w:color w:val="000000"/>
          <w:sz w:val="32"/>
          <w:szCs w:val="32"/>
          <w:highlight w:val="none"/>
          <w:u w:val="none"/>
          <w:lang w:val="en-US" w:eastAsia="zh-CN"/>
        </w:rPr>
        <w:t>707</w:t>
      </w:r>
      <w:r>
        <w:rPr>
          <w:rFonts w:hint="eastAsia" w:ascii="仿宋_GB2312" w:hAnsi="仿宋_GB2312" w:eastAsia="仿宋_GB2312" w:cs="仿宋_GB2312"/>
          <w:color w:val="000000"/>
          <w:sz w:val="32"/>
          <w:szCs w:val="32"/>
          <w:highlight w:val="none"/>
          <w:u w:val="none"/>
          <w:lang w:val="en-US" w:eastAsia="zh-CN"/>
        </w:rPr>
        <w:t>个小区排水单元、35公里雨污分流管道改造。</w:t>
      </w:r>
    </w:p>
    <w:p w14:paraId="0FECF640">
      <w:pPr>
        <w:keepNext w:val="0"/>
        <w:keepLines w:val="0"/>
        <w:pageBreakBefore w:val="0"/>
        <w:tabs>
          <w:tab w:val="left" w:pos="789"/>
        </w:tabs>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二是城市管理更为精细。</w:t>
      </w:r>
      <w:r>
        <w:rPr>
          <w:rFonts w:hint="eastAsia" w:ascii="仿宋_GB2312" w:hAnsi="仿宋_GB2312" w:eastAsia="仿宋_GB2312" w:cs="仿宋_GB2312"/>
          <w:b w:val="0"/>
          <w:bCs w:val="0"/>
          <w:sz w:val="32"/>
          <w:szCs w:val="32"/>
          <w:u w:val="none"/>
          <w:lang w:val="en-US" w:eastAsia="zh-CN"/>
        </w:rPr>
        <w:t>“数字城管”</w:t>
      </w:r>
      <w:r>
        <w:rPr>
          <w:rFonts w:hint="eastAsia" w:ascii="仿宋_GB2312" w:hAnsi="仿宋_GB2312" w:eastAsia="仿宋_GB2312" w:cs="仿宋_GB2312"/>
          <w:sz w:val="32"/>
          <w:szCs w:val="32"/>
          <w:u w:val="none"/>
          <w:lang w:val="en-US" w:eastAsia="zh-CN"/>
        </w:rPr>
        <w:t>共接收案卷20.67万余件，按时整改20.64万余件，按时整改率99.34%，每月均排名全市前3</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u w:val="none"/>
          <w:lang w:val="en-US" w:eastAsia="zh-CN"/>
        </w:rPr>
        <w:t>新增社会公厕26座，将青云休闲公园成功打造为南昌市城市客厅“席地而坐”示范点</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highlight w:val="none"/>
          <w:u w:val="none"/>
          <w:lang w:val="en-US" w:eastAsia="zh-CN"/>
        </w:rPr>
        <w:t>投资6.56亿元完成9个海绵城市示范项目，</w:t>
      </w:r>
      <w:r>
        <w:rPr>
          <w:rFonts w:hint="eastAsia" w:ascii="仿宋_GB2312" w:hAnsi="仿宋_GB2312" w:eastAsia="仿宋_GB2312" w:cs="仿宋_GB2312"/>
          <w:b w:val="0"/>
          <w:bCs w:val="0"/>
          <w:sz w:val="32"/>
          <w:szCs w:val="32"/>
          <w:highlight w:val="none"/>
          <w:u w:val="none"/>
          <w:lang w:val="en-US" w:eastAsia="zh-CN"/>
        </w:rPr>
        <w:t>认真做好全区75条绿化道路、14个公园的日常管养。</w:t>
      </w:r>
    </w:p>
    <w:p w14:paraId="30B285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三是生态环境更显优美。</w:t>
      </w:r>
      <w:r>
        <w:rPr>
          <w:rFonts w:hint="eastAsia" w:ascii="仿宋_GB2312" w:hAnsi="仿宋_GB2312" w:eastAsia="仿宋_GB2312" w:cs="仿宋_GB2312"/>
          <w:b w:val="0"/>
          <w:bCs w:val="0"/>
          <w:kern w:val="2"/>
          <w:sz w:val="32"/>
          <w:szCs w:val="32"/>
          <w:u w:val="none"/>
          <w:lang w:val="en-US" w:eastAsia="zh-CN" w:bidi="ar-SA"/>
        </w:rPr>
        <w:t>空气质量</w:t>
      </w:r>
      <w:r>
        <w:rPr>
          <w:rFonts w:hint="eastAsia" w:ascii="仿宋_GB2312" w:hAnsi="仿宋_GB2312" w:eastAsia="仿宋_GB2312" w:cs="仿宋_GB2312"/>
          <w:b w:val="0"/>
          <w:bCs w:val="0"/>
          <w:kern w:val="2"/>
          <w:sz w:val="32"/>
          <w:szCs w:val="32"/>
          <w:highlight w:val="none"/>
          <w:u w:val="none"/>
          <w:lang w:val="en-US" w:eastAsia="zh-CN" w:bidi="ar-SA"/>
        </w:rPr>
        <w:t>总体改善，全年</w:t>
      </w:r>
      <w:r>
        <w:rPr>
          <w:rFonts w:hint="default" w:ascii="Times New Roman" w:hAnsi="Times New Roman" w:eastAsia="仿宋_GB2312" w:cs="Times New Roman"/>
          <w:b w:val="0"/>
          <w:bCs w:val="0"/>
          <w:kern w:val="2"/>
          <w:sz w:val="32"/>
          <w:szCs w:val="32"/>
          <w:highlight w:val="none"/>
          <w:u w:val="none"/>
          <w:lang w:val="en-US" w:eastAsia="zh-CN" w:bidi="ar-SA"/>
        </w:rPr>
        <w:t>PM₂.₅</w:t>
      </w:r>
      <w:r>
        <w:rPr>
          <w:rFonts w:hint="eastAsia" w:ascii="仿宋_GB2312" w:hAnsi="仿宋_GB2312" w:eastAsia="仿宋_GB2312" w:cs="仿宋_GB2312"/>
          <w:b w:val="0"/>
          <w:bCs w:val="0"/>
          <w:kern w:val="2"/>
          <w:sz w:val="32"/>
          <w:szCs w:val="32"/>
          <w:highlight w:val="none"/>
          <w:u w:val="none"/>
          <w:lang w:val="en-US" w:eastAsia="zh-CN" w:bidi="ar-SA"/>
        </w:rPr>
        <w:t>同比改善</w:t>
      </w:r>
      <w:r>
        <w:rPr>
          <w:rFonts w:hint="eastAsia" w:ascii="仿宋_GB2312" w:hAnsi="仿宋_GB2312" w:cs="仿宋_GB2312"/>
          <w:b w:val="0"/>
          <w:bCs w:val="0"/>
          <w:kern w:val="2"/>
          <w:sz w:val="32"/>
          <w:szCs w:val="32"/>
          <w:highlight w:val="none"/>
          <w:u w:val="none"/>
          <w:lang w:val="en-US" w:eastAsia="zh-CN" w:bidi="ar-SA"/>
        </w:rPr>
        <w:t>2.9</w:t>
      </w:r>
      <w:r>
        <w:rPr>
          <w:rFonts w:hint="eastAsia" w:ascii="仿宋_GB2312" w:hAnsi="仿宋_GB2312" w:eastAsia="仿宋_GB2312" w:cs="仿宋_GB2312"/>
          <w:b w:val="0"/>
          <w:bCs w:val="0"/>
          <w:kern w:val="2"/>
          <w:sz w:val="32"/>
          <w:szCs w:val="32"/>
          <w:highlight w:val="none"/>
          <w:u w:val="none"/>
          <w:lang w:val="en-US" w:eastAsia="zh-CN" w:bidi="ar-SA"/>
        </w:rPr>
        <w:t>%，</w:t>
      </w:r>
      <w:r>
        <w:rPr>
          <w:rFonts w:hint="default" w:ascii="Times New Roman" w:hAnsi="Times New Roman" w:eastAsia="仿宋_GB2312" w:cs="Times New Roman"/>
          <w:b w:val="0"/>
          <w:bCs w:val="0"/>
          <w:kern w:val="2"/>
          <w:sz w:val="32"/>
          <w:szCs w:val="32"/>
          <w:highlight w:val="none"/>
          <w:u w:val="none"/>
          <w:lang w:val="en-US" w:eastAsia="zh-CN" w:bidi="ar-SA"/>
        </w:rPr>
        <w:t>PM₁₀</w:t>
      </w:r>
      <w:r>
        <w:rPr>
          <w:rFonts w:hint="eastAsia" w:ascii="仿宋_GB2312" w:hAnsi="仿宋_GB2312" w:eastAsia="仿宋_GB2312" w:cs="仿宋_GB2312"/>
          <w:b w:val="0"/>
          <w:bCs w:val="0"/>
          <w:kern w:val="2"/>
          <w:sz w:val="32"/>
          <w:szCs w:val="32"/>
          <w:u w:val="none"/>
          <w:lang w:val="en-US" w:eastAsia="zh-CN" w:bidi="ar-SA"/>
        </w:rPr>
        <w:t>同比改善</w:t>
      </w:r>
      <w:r>
        <w:rPr>
          <w:rFonts w:hint="eastAsia" w:ascii="仿宋_GB2312" w:hAnsi="仿宋_GB2312" w:cs="仿宋_GB2312"/>
          <w:b w:val="0"/>
          <w:bCs w:val="0"/>
          <w:kern w:val="2"/>
          <w:sz w:val="32"/>
          <w:szCs w:val="32"/>
          <w:u w:val="none"/>
          <w:lang w:val="en-US" w:eastAsia="zh-CN" w:bidi="ar-SA"/>
        </w:rPr>
        <w:t>4.4</w:t>
      </w:r>
      <w:r>
        <w:rPr>
          <w:rFonts w:hint="eastAsia" w:ascii="仿宋_GB2312" w:hAnsi="仿宋_GB2312" w:eastAsia="仿宋_GB2312" w:cs="仿宋_GB2312"/>
          <w:b w:val="0"/>
          <w:bCs w:val="0"/>
          <w:kern w:val="2"/>
          <w:sz w:val="32"/>
          <w:szCs w:val="32"/>
          <w:u w:val="none"/>
          <w:lang w:val="en-US" w:eastAsia="zh-CN" w:bidi="ar-SA"/>
        </w:rPr>
        <w:t>%，空气质量优良率94.</w:t>
      </w:r>
      <w:r>
        <w:rPr>
          <w:rFonts w:hint="eastAsia" w:ascii="仿宋_GB2312" w:hAnsi="仿宋_GB2312" w:cs="仿宋_GB2312"/>
          <w:b w:val="0"/>
          <w:bCs w:val="0"/>
          <w:kern w:val="2"/>
          <w:sz w:val="32"/>
          <w:szCs w:val="32"/>
          <w:u w:val="none"/>
          <w:lang w:val="en-US" w:eastAsia="zh-CN" w:bidi="ar-SA"/>
        </w:rPr>
        <w:t>3</w:t>
      </w:r>
      <w:r>
        <w:rPr>
          <w:rFonts w:hint="eastAsia" w:ascii="仿宋_GB2312" w:hAnsi="仿宋_GB2312" w:eastAsia="仿宋_GB2312" w:cs="仿宋_GB2312"/>
          <w:b w:val="0"/>
          <w:bCs w:val="0"/>
          <w:kern w:val="2"/>
          <w:sz w:val="32"/>
          <w:szCs w:val="32"/>
          <w:u w:val="none"/>
          <w:lang w:val="en-US" w:eastAsia="zh-CN" w:bidi="ar-SA"/>
        </w:rPr>
        <w:t>%</w:t>
      </w:r>
      <w:r>
        <w:rPr>
          <w:rFonts w:hint="eastAsia" w:ascii="仿宋_GB2312" w:hAnsi="仿宋_GB2312" w:cs="仿宋_GB2312"/>
          <w:b w:val="0"/>
          <w:bCs w:val="0"/>
          <w:kern w:val="2"/>
          <w:sz w:val="32"/>
          <w:szCs w:val="32"/>
          <w:u w:val="none"/>
          <w:lang w:val="en-US" w:eastAsia="zh-CN" w:bidi="ar-SA"/>
        </w:rPr>
        <w:t>。</w:t>
      </w:r>
      <w:r>
        <w:rPr>
          <w:rFonts w:hint="eastAsia" w:ascii="仿宋_GB2312" w:hAnsi="仿宋_GB2312" w:eastAsia="仿宋_GB2312" w:cs="仿宋_GB2312"/>
          <w:b w:val="0"/>
          <w:bCs w:val="0"/>
          <w:kern w:val="2"/>
          <w:sz w:val="32"/>
          <w:szCs w:val="32"/>
          <w:u w:val="none"/>
          <w:lang w:val="en-US" w:eastAsia="zh-CN" w:bidi="ar-SA"/>
        </w:rPr>
        <w:t>水环境质量稳定达标，达到水质考核目标</w:t>
      </w:r>
      <w:r>
        <w:rPr>
          <w:rFonts w:hint="eastAsia" w:ascii="仿宋_GB2312" w:hAnsi="仿宋_GB2312" w:cs="仿宋_GB2312"/>
          <w:b w:val="0"/>
          <w:bCs w:val="0"/>
          <w:kern w:val="2"/>
          <w:sz w:val="32"/>
          <w:szCs w:val="32"/>
          <w:u w:val="none"/>
          <w:lang w:val="en-US" w:eastAsia="zh-CN" w:bidi="ar-SA"/>
        </w:rPr>
        <w:t>。</w:t>
      </w:r>
      <w:r>
        <w:rPr>
          <w:rFonts w:hint="eastAsia" w:ascii="仿宋_GB2312" w:hAnsi="仿宋_GB2312" w:eastAsia="仿宋_GB2312" w:cs="仿宋_GB2312"/>
          <w:b w:val="0"/>
          <w:bCs w:val="0"/>
          <w:kern w:val="2"/>
          <w:sz w:val="32"/>
          <w:szCs w:val="32"/>
          <w:u w:val="none"/>
          <w:lang w:val="en-US" w:eastAsia="zh-CN" w:bidi="ar-SA"/>
        </w:rPr>
        <w:t>土壤质量总体平稳，全区土壤环境质量状况总体良好，未发生因疑似污染地块或污染地块再开发利用不当造成不良社会影响事件。</w:t>
      </w:r>
    </w:p>
    <w:p w14:paraId="746852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（五）兜牢民生底线，确保发展成果共建共享</w:t>
      </w:r>
    </w:p>
    <w:p w14:paraId="77ACB33F">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一是就业保障不断完备。</w:t>
      </w:r>
      <w:r>
        <w:rPr>
          <w:rFonts w:hint="eastAsia" w:ascii="仿宋_GB2312" w:hAnsi="仿宋_GB2312" w:eastAsia="仿宋_GB2312" w:cs="仿宋_GB2312"/>
          <w:sz w:val="32"/>
          <w:szCs w:val="32"/>
          <w:u w:val="none"/>
          <w:lang w:val="en-US" w:eastAsia="zh-CN"/>
        </w:rPr>
        <w:t>构建“1+7+17”的区、街道、社区三级“就业之家”服务网络，</w:t>
      </w:r>
      <w:r>
        <w:rPr>
          <w:rFonts w:hint="eastAsia" w:ascii="仿宋_GB2312" w:hAnsi="仿宋_GB2312" w:eastAsia="仿宋_GB2312" w:cs="仿宋_GB2312"/>
          <w:color w:val="auto"/>
          <w:sz w:val="32"/>
          <w:szCs w:val="32"/>
          <w:u w:val="none"/>
        </w:rPr>
        <w:t>打造国有创新创业综合服务中心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sz w:val="32"/>
          <w:szCs w:val="32"/>
          <w:u w:val="none"/>
          <w:lang w:val="en-US" w:eastAsia="zh-CN"/>
        </w:rPr>
        <w:t>形成“10分钟就业服务圈”</w:t>
      </w:r>
      <w:r>
        <w:rPr>
          <w:rFonts w:hint="eastAsia" w:ascii="仿宋_GB2312" w:hAnsi="仿宋_GB2312" w:cs="仿宋_GB2312"/>
          <w:sz w:val="32"/>
          <w:szCs w:val="32"/>
          <w:u w:val="none"/>
          <w:lang w:val="en-US" w:eastAsia="zh-CN"/>
        </w:rPr>
        <w:t>。</w:t>
      </w:r>
      <w:r>
        <w:rPr>
          <w:rFonts w:hint="eastAsia" w:ascii="仿宋_GB2312" w:hAnsi="仿宋_GB2312" w:cs="仿宋_GB2312"/>
          <w:color w:val="auto"/>
          <w:sz w:val="32"/>
          <w:szCs w:val="32"/>
          <w:u w:val="none"/>
          <w:lang w:val="en-US" w:eastAsia="zh-CN"/>
        </w:rPr>
        <w:t>积极开展</w:t>
      </w:r>
      <w:r>
        <w:rPr>
          <w:rFonts w:hint="eastAsia" w:ascii="仿宋_GB2312" w:hAnsi="仿宋_GB2312" w:eastAsia="仿宋_GB2312" w:cs="仿宋_GB2312"/>
          <w:color w:val="auto"/>
          <w:sz w:val="32"/>
          <w:szCs w:val="32"/>
          <w:u w:val="none"/>
          <w:lang w:val="en-US" w:eastAsia="zh-CN"/>
        </w:rPr>
        <w:t>线上线下招聘会，初步达成意向数1875人</w:t>
      </w:r>
      <w:r>
        <w:rPr>
          <w:rFonts w:hint="eastAsia" w:ascii="仿宋_GB2312" w:hAnsi="仿宋_GB2312" w:cs="仿宋_GB2312"/>
          <w:color w:val="auto"/>
          <w:sz w:val="32"/>
          <w:szCs w:val="32"/>
          <w:u w:val="none"/>
          <w:lang w:val="en-US" w:eastAsia="zh-CN"/>
        </w:rPr>
        <w:t>。城镇新增就业人数达5100人，</w:t>
      </w:r>
      <w:r>
        <w:rPr>
          <w:rFonts w:hint="eastAsia" w:ascii="仿宋_GB2312" w:hAnsi="仿宋_GB2312" w:eastAsia="仿宋_GB2312" w:cs="仿宋_GB2312"/>
          <w:color w:val="auto"/>
          <w:kern w:val="2"/>
          <w:sz w:val="32"/>
          <w:szCs w:val="32"/>
          <w:lang w:val="en-US" w:eastAsia="zh-CN" w:bidi="ar-SA"/>
        </w:rPr>
        <w:t>失业保险参保任务数为23360人，完成率为100.32%</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sz w:val="32"/>
          <w:szCs w:val="32"/>
          <w:u w:val="none"/>
          <w:lang w:val="en-US" w:eastAsia="zh-CN"/>
        </w:rPr>
        <w:t>我区“充分就业社区创建”和全省首条“社会保障卡消费示范街”等经验做法先后被省深化改革办推广。</w:t>
      </w:r>
    </w:p>
    <w:p w14:paraId="4D92C8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二是公共服务提档升级。</w:t>
      </w:r>
      <w:r>
        <w:rPr>
          <w:rFonts w:hint="eastAsia" w:ascii="仿宋_GB2312" w:hAnsi="仿宋_GB2312" w:eastAsia="仿宋_GB2312" w:cs="仿宋_GB2312"/>
          <w:sz w:val="32"/>
          <w:szCs w:val="32"/>
          <w:u w:val="none"/>
          <w:lang w:val="en-US" w:eastAsia="zh-CN"/>
        </w:rPr>
        <w:t>洪都学校、万溪学校、新地学校、特殊教育学校教育重大重点项目建设加速推进</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b w:val="0"/>
          <w:bCs w:val="0"/>
          <w:color w:val="auto"/>
          <w:sz w:val="32"/>
          <w:szCs w:val="32"/>
          <w:lang w:eastAsia="zh-CN"/>
        </w:rPr>
        <w:t>医疗保障服务持续提升，12项医保“高效办成一件事”重点事项实现“一网通办”、“一窗通办”“即申即享”，基本医疗保险参保人数125145人，参保目标完成率100%。推进落实免费血液透析、重症精神病等重大疾病免费救治政策。</w:t>
      </w:r>
      <w:r>
        <w:rPr>
          <w:rFonts w:hint="eastAsia" w:ascii="仿宋_GB2312" w:hAnsi="仿宋_GB2312" w:eastAsia="仿宋_GB2312" w:cs="仿宋_GB2312"/>
          <w:sz w:val="32"/>
          <w:szCs w:val="32"/>
          <w:u w:val="none"/>
          <w:lang w:val="en-US" w:eastAsia="zh-CN"/>
        </w:rPr>
        <w:t>促进全区中医药服务能力进一步提升，唱响青云谱“15分钟中医药健康圈”品牌效应</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u w:val="none"/>
          <w:lang w:val="en-US" w:eastAsia="zh-CN"/>
        </w:rPr>
        <w:t>推进0-3岁婴幼儿照护服务高质量发展，</w:t>
      </w:r>
      <w:r>
        <w:rPr>
          <w:rFonts w:hint="eastAsia" w:ascii="仿宋_GB2312" w:hAnsi="仿宋_GB2312" w:cs="仿宋_GB2312"/>
          <w:sz w:val="32"/>
          <w:szCs w:val="32"/>
          <w:u w:val="none"/>
          <w:lang w:val="en-US" w:eastAsia="zh-CN"/>
        </w:rPr>
        <w:t>新增托育点位6家</w:t>
      </w:r>
      <w:r>
        <w:rPr>
          <w:rFonts w:hint="eastAsia" w:ascii="仿宋_GB2312" w:hAnsi="仿宋_GB2312" w:eastAsia="仿宋_GB2312" w:cs="仿宋_GB2312"/>
          <w:sz w:val="32"/>
          <w:szCs w:val="32"/>
          <w:u w:val="none"/>
          <w:lang w:val="en-US" w:eastAsia="zh-CN"/>
        </w:rPr>
        <w:t>，完成5家幼儿园延伸班改造，并在</w:t>
      </w:r>
      <w:r>
        <w:rPr>
          <w:rFonts w:hint="eastAsia" w:ascii="仿宋_GB2312" w:hAnsi="仿宋_GB2312" w:cs="仿宋_GB2312"/>
          <w:sz w:val="32"/>
          <w:szCs w:val="32"/>
          <w:u w:val="none"/>
          <w:lang w:val="en-US" w:eastAsia="zh-CN"/>
        </w:rPr>
        <w:t>40</w:t>
      </w:r>
      <w:r>
        <w:rPr>
          <w:rFonts w:hint="eastAsia" w:ascii="仿宋_GB2312" w:hAnsi="仿宋_GB2312" w:eastAsia="仿宋_GB2312" w:cs="仿宋_GB2312"/>
          <w:sz w:val="32"/>
          <w:szCs w:val="32"/>
          <w:u w:val="none"/>
          <w:lang w:val="en-US" w:eastAsia="zh-CN"/>
        </w:rPr>
        <w:t>个社区覆盖托育点位，累计提供托位达1445个，每千人口托位数达4.08个。完成食品安全抽检监测计划730批次，总体合格率96.57%。</w:t>
      </w:r>
    </w:p>
    <w:p w14:paraId="78894A62">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bCs/>
          <w:sz w:val="32"/>
          <w:szCs w:val="32"/>
          <w:u w:val="none"/>
          <w:lang w:val="en-US" w:eastAsia="zh-CN"/>
        </w:rPr>
        <w:t>三是文化事业繁荣发展。</w:t>
      </w:r>
      <w:r>
        <w:rPr>
          <w:rFonts w:hint="eastAsia" w:ascii="仿宋_GB2312" w:hAnsi="仿宋_GB2312" w:cs="仿宋_GB2312"/>
          <w:color w:val="auto"/>
          <w:sz w:val="32"/>
          <w:szCs w:val="32"/>
          <w:u w:val="none"/>
          <w:lang w:val="en-US" w:eastAsia="zh-CN"/>
        </w:rPr>
        <w:t>青云谱区</w:t>
      </w:r>
      <w:r>
        <w:rPr>
          <w:rFonts w:hint="eastAsia" w:ascii="仿宋_GB2312" w:hAnsi="仿宋_GB2312" w:cs="仿宋_GB2312"/>
          <w:color w:val="auto"/>
          <w:sz w:val="32"/>
          <w:szCs w:val="32"/>
          <w:u w:val="none"/>
          <w:lang w:eastAsia="zh-CN"/>
        </w:rPr>
        <w:t>入选</w:t>
      </w:r>
      <w:r>
        <w:rPr>
          <w:rFonts w:hint="eastAsia" w:ascii="仿宋_GB2312" w:hAnsi="仿宋_GB2312" w:eastAsia="仿宋_GB2312" w:cs="仿宋_GB2312"/>
          <w:color w:val="auto"/>
          <w:sz w:val="32"/>
          <w:szCs w:val="32"/>
          <w:u w:val="none"/>
          <w:lang w:eastAsia="zh-CN"/>
        </w:rPr>
        <w:t>“2024年全国市辖区旅游发展潜力百佳区”</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区图书馆入选全国基层公共阅读服务推广项目</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入选国家图书馆文献共享计划分配名单</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城南龙灯亮相央视2024年首届《和美乡村新春会》《非遗里的中国》和“如画江西 潮涌金秋”2024江西文旅秋季主题推广活动启动仪式</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华南博物馆晋升为国家二级博物馆</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洪都夜巷获评省级旅游休闲街区</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《彩龙飞舞》荣获南昌市第八届广场舞决赛一等奖</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孺子书房建设和验收工作获市局通报表扬。</w:t>
      </w:r>
    </w:p>
    <w:p w14:paraId="4FB17750">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sz w:val="32"/>
          <w:szCs w:val="32"/>
          <w:u w:val="none"/>
        </w:rPr>
        <w:t>与此同时，审计、物价、</w:t>
      </w:r>
      <w:r>
        <w:rPr>
          <w:rFonts w:hint="eastAsia" w:ascii="仿宋_GB2312" w:hAnsi="仿宋_GB2312" w:cs="仿宋_GB2312"/>
          <w:sz w:val="32"/>
          <w:szCs w:val="32"/>
          <w:u w:val="none"/>
          <w:lang w:val="en-US" w:eastAsia="zh-CN"/>
        </w:rPr>
        <w:t>国动</w:t>
      </w:r>
      <w:r>
        <w:rPr>
          <w:rFonts w:hint="eastAsia" w:ascii="仿宋_GB2312" w:hAnsi="仿宋_GB2312" w:eastAsia="仿宋_GB2312" w:cs="仿宋_GB2312"/>
          <w:sz w:val="32"/>
          <w:szCs w:val="32"/>
          <w:u w:val="none"/>
        </w:rPr>
        <w:t>、应急、老龄、妇女儿童、</w:t>
      </w:r>
      <w:r>
        <w:rPr>
          <w:rFonts w:hint="eastAsia" w:ascii="仿宋_GB2312" w:hAnsi="仿宋_GB2312" w:eastAsia="仿宋_GB2312" w:cs="仿宋_GB2312"/>
          <w:sz w:val="32"/>
          <w:szCs w:val="32"/>
          <w:u w:val="none"/>
          <w:lang w:val="en-US" w:eastAsia="zh-CN"/>
        </w:rPr>
        <w:t>粮食安全、</w:t>
      </w:r>
      <w:r>
        <w:rPr>
          <w:rFonts w:hint="eastAsia" w:ascii="仿宋_GB2312" w:hAnsi="仿宋_GB2312" w:eastAsia="仿宋_GB2312" w:cs="仿宋_GB2312"/>
          <w:sz w:val="32"/>
          <w:szCs w:val="32"/>
          <w:u w:val="none"/>
        </w:rPr>
        <w:t>残疾人保障、艾滋病</w:t>
      </w:r>
      <w:r>
        <w:rPr>
          <w:rFonts w:hint="eastAsia" w:ascii="仿宋_GB2312" w:hAnsi="仿宋_GB2312" w:eastAsia="仿宋_GB2312" w:cs="仿宋_GB2312"/>
          <w:sz w:val="32"/>
          <w:szCs w:val="32"/>
          <w:u w:val="none"/>
          <w:lang w:val="en-US" w:eastAsia="zh-CN"/>
        </w:rPr>
        <w:t>防治、慢病</w:t>
      </w:r>
      <w:r>
        <w:rPr>
          <w:rFonts w:hint="eastAsia" w:ascii="仿宋_GB2312" w:hAnsi="仿宋_GB2312" w:eastAsia="仿宋_GB2312" w:cs="仿宋_GB2312"/>
          <w:sz w:val="32"/>
          <w:szCs w:val="32"/>
          <w:u w:val="none"/>
        </w:rPr>
        <w:t>防治、退役军人、机关事务、信息化建设等工作均取得可喜成绩。回顾202</w:t>
      </w:r>
      <w:r>
        <w:rPr>
          <w:rFonts w:hint="eastAsia" w:ascii="仿宋_GB2312" w:hAnsi="仿宋_GB2312" w:eastAsia="仿宋_GB2312" w:cs="仿宋_GB2312"/>
          <w:sz w:val="32"/>
          <w:szCs w:val="32"/>
          <w:u w:val="none"/>
          <w:lang w:val="en-US" w:eastAsia="zh-CN"/>
        </w:rPr>
        <w:t>4</w:t>
      </w:r>
      <w:r>
        <w:rPr>
          <w:rFonts w:hint="eastAsia" w:ascii="仿宋_GB2312" w:hAnsi="仿宋_GB2312" w:eastAsia="仿宋_GB2312" w:cs="仿宋_GB2312"/>
          <w:sz w:val="32"/>
          <w:szCs w:val="32"/>
          <w:u w:val="none"/>
        </w:rPr>
        <w:t>年，我区积极应对多重困难和挑战，取得这样的成绩，这是全区上下团结拼搏、不懈奋斗的结果</w:t>
      </w:r>
      <w:r>
        <w:rPr>
          <w:rFonts w:hint="eastAsia" w:ascii="仿宋_GB2312" w:hAnsi="仿宋_GB2312" w:cs="仿宋_GB2312"/>
          <w:sz w:val="32"/>
          <w:szCs w:val="32"/>
          <w:u w:val="none"/>
          <w:lang w:eastAsia="zh-CN"/>
        </w:rPr>
        <w:t>。</w:t>
      </w:r>
      <w:r>
        <w:rPr>
          <w:rFonts w:hint="eastAsia" w:ascii="仿宋_GB2312" w:hAnsi="仿宋_GB2312" w:eastAsia="仿宋_GB2312" w:cs="仿宋_GB2312"/>
          <w:sz w:val="32"/>
          <w:szCs w:val="32"/>
          <w:u w:val="none"/>
        </w:rPr>
        <w:t>同时，我们也清醒地看到，青云谱区的经济社会发展仍然存在一些困难和问题，主要表现在:</w:t>
      </w:r>
      <w:r>
        <w:rPr>
          <w:rFonts w:hint="eastAsia" w:ascii="仿宋_GB2312" w:hAnsi="仿宋_GB2312" w:eastAsia="仿宋_GB2312" w:cs="仿宋_GB2312"/>
          <w:sz w:val="32"/>
          <w:szCs w:val="32"/>
          <w:u w:val="none"/>
          <w:lang w:val="en-US" w:eastAsia="zh-CN"/>
        </w:rPr>
        <w:t>一方面</w:t>
      </w:r>
      <w:r>
        <w:rPr>
          <w:rFonts w:hint="eastAsia" w:ascii="仿宋_GB2312" w:hAnsi="仿宋_GB2312" w:eastAsia="仿宋_GB2312" w:cs="仿宋_GB2312"/>
          <w:sz w:val="32"/>
          <w:szCs w:val="32"/>
          <w:u w:val="none"/>
        </w:rPr>
        <w:t>新的支柱产业尚未形成，产业转型升级任重道远</w:t>
      </w:r>
      <w:r>
        <w:rPr>
          <w:rFonts w:hint="eastAsia" w:ascii="仿宋_GB2312" w:hAnsi="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另一方面</w:t>
      </w:r>
      <w:r>
        <w:rPr>
          <w:rFonts w:hint="eastAsia" w:ascii="仿宋_GB2312" w:hAnsi="仿宋_GB2312" w:eastAsia="仿宋_GB2312" w:cs="仿宋_GB2312"/>
          <w:sz w:val="32"/>
          <w:szCs w:val="32"/>
          <w:u w:val="none"/>
        </w:rPr>
        <w:t>民生领域</w:t>
      </w:r>
      <w:r>
        <w:rPr>
          <w:rFonts w:hint="eastAsia" w:ascii="仿宋_GB2312" w:hAnsi="仿宋_GB2312" w:cs="仿宋_GB2312"/>
          <w:sz w:val="32"/>
          <w:szCs w:val="32"/>
          <w:u w:val="none"/>
          <w:lang w:val="en-US" w:eastAsia="zh-CN"/>
        </w:rPr>
        <w:t>发展现状</w:t>
      </w:r>
      <w:r>
        <w:rPr>
          <w:rFonts w:hint="eastAsia" w:ascii="仿宋_GB2312" w:hAnsi="仿宋_GB2312" w:eastAsia="仿宋_GB2312" w:cs="仿宋_GB2312"/>
          <w:sz w:val="32"/>
          <w:szCs w:val="32"/>
          <w:u w:val="none"/>
        </w:rPr>
        <w:t>和人民群众日益增长的美好生活</w:t>
      </w:r>
      <w:r>
        <w:rPr>
          <w:rFonts w:hint="eastAsia" w:ascii="仿宋_GB2312" w:hAnsi="仿宋_GB2312" w:cs="仿宋_GB2312"/>
          <w:sz w:val="32"/>
          <w:szCs w:val="32"/>
          <w:u w:val="none"/>
          <w:lang w:val="en-US" w:eastAsia="zh-CN"/>
        </w:rPr>
        <w:t>需求</w:t>
      </w:r>
      <w:r>
        <w:rPr>
          <w:rFonts w:hint="eastAsia" w:ascii="仿宋_GB2312" w:hAnsi="仿宋_GB2312" w:eastAsia="仿宋_GB2312" w:cs="仿宋_GB2312"/>
          <w:sz w:val="32"/>
          <w:szCs w:val="32"/>
          <w:u w:val="none"/>
        </w:rPr>
        <w:t>相比还有差距，教育、医疗、托育、养老等公共服务质量有待进一步提升</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对此，我们将坚持问题导向，采取有力措施，切实加以解决。</w:t>
      </w:r>
    </w:p>
    <w:p w14:paraId="0A60B2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rPr>
        <w:t>二、</w:t>
      </w:r>
      <w:r>
        <w:rPr>
          <w:rFonts w:hint="eastAsia" w:ascii="黑体" w:hAnsi="黑体" w:eastAsia="黑体" w:cs="黑体"/>
          <w:sz w:val="32"/>
          <w:szCs w:val="32"/>
          <w:u w:val="none"/>
          <w:lang w:val="en-US" w:eastAsia="zh-CN"/>
        </w:rPr>
        <w:t>2025年经济工作总体要求和预期目标</w:t>
      </w:r>
    </w:p>
    <w:p w14:paraId="62DFEF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t>（一）</w:t>
      </w: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总体要求</w:t>
      </w:r>
    </w:p>
    <w:p w14:paraId="4E1DD2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2025年是全面贯彻落实党的二十届三中全会精神和习近平总书记考察江西重要讲</w:t>
      </w:r>
      <w:bookmarkStart w:id="0" w:name="_GoBack"/>
      <w:bookmarkEnd w:id="0"/>
      <w:r>
        <w:rPr>
          <w:rFonts w:hint="eastAsia" w:ascii="仿宋_GB2312" w:hAnsi="仿宋_GB2312" w:eastAsia="仿宋_GB2312" w:cs="仿宋_GB2312"/>
          <w:sz w:val="32"/>
          <w:szCs w:val="32"/>
          <w:u w:val="none"/>
          <w:lang w:val="en-US" w:eastAsia="zh-CN"/>
        </w:rPr>
        <w:t>话精神的关键一年，也是“十四五”规划的收官之年，做好经济工作意义重大。建议明年全区经济工作的总体要求是：以习近平新时代中国特色社会主义思想为指导，全面贯彻落实党的二十大和二十届二中、三中全会以及中央经济工作会议精神，认真落实省委十五届七次全会、市委十二届九次全会、区委十三届八次全会暨区委经济工作会议精神，聚焦“走在前、勇争先、善作为”的目标要求，</w:t>
      </w:r>
      <w:r>
        <w:rPr>
          <w:rFonts w:hint="eastAsia" w:ascii="仿宋_GB2312" w:hAnsi="仿宋_GB2312" w:cs="仿宋_GB2312"/>
          <w:sz w:val="32"/>
          <w:szCs w:val="32"/>
          <w:u w:val="none"/>
          <w:lang w:val="en-US" w:eastAsia="zh-CN"/>
        </w:rPr>
        <w:t>以“全面深化改革年”为主题，</w:t>
      </w:r>
      <w:r>
        <w:rPr>
          <w:rFonts w:hint="eastAsia" w:ascii="仿宋_GB2312" w:hAnsi="仿宋_GB2312" w:eastAsia="仿宋_GB2312" w:cs="仿宋_GB2312"/>
          <w:sz w:val="32"/>
          <w:szCs w:val="32"/>
          <w:u w:val="none"/>
          <w:lang w:val="en-US" w:eastAsia="zh-CN"/>
        </w:rPr>
        <w:t>锚定“生态人文都市区、产业创新未来城”发展定位，</w:t>
      </w:r>
      <w:r>
        <w:rPr>
          <w:rFonts w:hint="eastAsia" w:ascii="仿宋_GB2312" w:hAnsi="仿宋_GB2312" w:cs="仿宋_GB2312"/>
          <w:sz w:val="32"/>
          <w:szCs w:val="32"/>
          <w:u w:val="none"/>
          <w:lang w:val="en-US" w:eastAsia="zh-CN"/>
        </w:rPr>
        <w:t>聚焦</w:t>
      </w:r>
      <w:r>
        <w:rPr>
          <w:rFonts w:hint="eastAsia" w:ascii="仿宋_GB2312" w:hAnsi="仿宋_GB2312" w:eastAsia="仿宋_GB2312" w:cs="仿宋_GB2312"/>
          <w:sz w:val="32"/>
          <w:szCs w:val="32"/>
          <w:u w:val="none"/>
          <w:lang w:val="en-US" w:eastAsia="zh-CN"/>
        </w:rPr>
        <w:t>“四区”战场，</w:t>
      </w:r>
      <w:r>
        <w:rPr>
          <w:rFonts w:hint="eastAsia" w:ascii="仿宋_GB2312" w:hAnsi="仿宋_GB2312" w:cs="仿宋_GB2312"/>
          <w:sz w:val="32"/>
          <w:szCs w:val="32"/>
          <w:u w:val="none"/>
          <w:lang w:val="en-US" w:eastAsia="zh-CN"/>
        </w:rPr>
        <w:t>深化</w:t>
      </w:r>
      <w:r>
        <w:rPr>
          <w:rFonts w:hint="eastAsia" w:ascii="仿宋_GB2312" w:hAnsi="仿宋_GB2312" w:eastAsia="仿宋_GB2312" w:cs="仿宋_GB2312"/>
          <w:sz w:val="32"/>
          <w:szCs w:val="32"/>
          <w:u w:val="none"/>
          <w:lang w:val="en-US" w:eastAsia="zh-CN"/>
        </w:rPr>
        <w:t>“六大行动”，坚持稳中求进、以进促稳，完整准确全面贯彻新发展理念，加快构建新发展格局，扎实推动高质量发展，加快构建具有青云谱特色和优势的“3+3+X”现代产业体系，进一步全面深化改革扩大开放，加强生态文明建设，加大保障和改善民生力度，坚决防范化解重点领域风险，更好统筹高质量发展和高水平安全，全力推动经济持续回升向好，切实保障社会和谐稳定，高质量完成“十四五”规划目标任务，为实现“十五五”良好开局打牢基础。</w:t>
      </w:r>
    </w:p>
    <w:p w14:paraId="675114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t>（二）</w:t>
      </w: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预期目标</w:t>
      </w:r>
    </w:p>
    <w:p w14:paraId="7BB9DBDE">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按照区委、区政府对全区经济社会工作的总体要求，综合考虑各种因素，</w:t>
      </w:r>
      <w:r>
        <w:rPr>
          <w:rFonts w:hint="eastAsia" w:ascii="仿宋_GB2312" w:hAnsi="仿宋_GB2312" w:eastAsia="仿宋_GB2312" w:cs="仿宋_GB2312"/>
          <w:sz w:val="32"/>
          <w:szCs w:val="32"/>
          <w:u w:val="none"/>
          <w:lang w:val="en-US" w:eastAsia="zh-CN"/>
        </w:rPr>
        <w:t>2025年</w:t>
      </w:r>
      <w:r>
        <w:rPr>
          <w:rFonts w:hint="eastAsia" w:ascii="仿宋_GB2312" w:hAnsi="仿宋_GB2312" w:eastAsia="仿宋_GB2312" w:cs="仿宋_GB2312"/>
          <w:sz w:val="32"/>
          <w:szCs w:val="32"/>
          <w:u w:val="none"/>
        </w:rPr>
        <w:t>全区经济社会发展的主要预期目标是：</w:t>
      </w:r>
    </w:p>
    <w:p w14:paraId="1F11C1C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地区生产总值增长</w:t>
      </w:r>
      <w:r>
        <w:rPr>
          <w:rFonts w:hint="eastAsia" w:ascii="仿宋_GB2312" w:hAnsi="仿宋_GB2312" w:cs="仿宋_GB2312"/>
          <w:sz w:val="32"/>
          <w:szCs w:val="32"/>
          <w:highlight w:val="none"/>
          <w:u w:val="none"/>
          <w:lang w:val="en-US" w:eastAsia="zh-CN"/>
        </w:rPr>
        <w:t>5.0</w:t>
      </w:r>
      <w:r>
        <w:rPr>
          <w:rFonts w:hint="eastAsia" w:ascii="仿宋_GB2312" w:hAnsi="仿宋_GB2312" w:eastAsia="仿宋_GB2312" w:cs="仿宋_GB2312"/>
          <w:sz w:val="32"/>
          <w:szCs w:val="32"/>
          <w:highlight w:val="none"/>
          <w:u w:val="none"/>
          <w:lang w:val="en-US" w:eastAsia="zh-CN"/>
        </w:rPr>
        <w:t>%左右</w:t>
      </w:r>
      <w:r>
        <w:rPr>
          <w:rFonts w:hint="eastAsia" w:ascii="仿宋_GB2312" w:hAnsi="仿宋_GB2312" w:cs="仿宋_GB2312"/>
          <w:sz w:val="32"/>
          <w:szCs w:val="32"/>
          <w:highlight w:val="none"/>
          <w:u w:val="none"/>
          <w:lang w:eastAsia="zh-CN"/>
        </w:rPr>
        <w:t>；</w:t>
      </w:r>
    </w:p>
    <w:p w14:paraId="5A9B7E5D">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cs="仿宋_GB2312"/>
          <w:sz w:val="32"/>
          <w:szCs w:val="32"/>
          <w:highlight w:val="none"/>
          <w:u w:val="none"/>
          <w:lang w:eastAsia="zh-CN"/>
        </w:rPr>
      </w:pPr>
      <w:r>
        <w:rPr>
          <w:rFonts w:hint="eastAsia" w:ascii="仿宋_GB2312" w:hAnsi="仿宋_GB2312" w:cs="仿宋_GB2312"/>
          <w:sz w:val="32"/>
          <w:szCs w:val="32"/>
          <w:highlight w:val="none"/>
          <w:u w:val="none"/>
          <w:lang w:val="en-US" w:eastAsia="zh-CN"/>
        </w:rPr>
        <w:t>地方</w:t>
      </w:r>
      <w:r>
        <w:rPr>
          <w:rFonts w:hint="eastAsia" w:ascii="仿宋_GB2312" w:hAnsi="仿宋_GB2312" w:eastAsia="仿宋_GB2312" w:cs="仿宋_GB2312"/>
          <w:sz w:val="32"/>
          <w:szCs w:val="32"/>
          <w:highlight w:val="none"/>
          <w:u w:val="none"/>
        </w:rPr>
        <w:t>一般公共预算收入增长</w:t>
      </w:r>
      <w:r>
        <w:rPr>
          <w:rFonts w:hint="eastAsia" w:ascii="仿宋_GB2312" w:hAnsi="仿宋_GB2312" w:cs="仿宋_GB2312"/>
          <w:sz w:val="32"/>
          <w:szCs w:val="32"/>
          <w:highlight w:val="none"/>
          <w:u w:val="none"/>
          <w:lang w:val="en-US" w:eastAsia="zh-CN"/>
        </w:rPr>
        <w:t>3.0</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rPr>
        <w:t>左右</w:t>
      </w:r>
      <w:r>
        <w:rPr>
          <w:rFonts w:hint="eastAsia" w:ascii="仿宋_GB2312" w:hAnsi="仿宋_GB2312" w:cs="仿宋_GB2312"/>
          <w:sz w:val="32"/>
          <w:szCs w:val="32"/>
          <w:highlight w:val="none"/>
          <w:u w:val="none"/>
          <w:lang w:eastAsia="zh-CN"/>
        </w:rPr>
        <w:t>；</w:t>
      </w:r>
    </w:p>
    <w:p w14:paraId="00BE46E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固定资产投资增长</w:t>
      </w:r>
      <w:r>
        <w:rPr>
          <w:rFonts w:hint="eastAsia" w:ascii="仿宋_GB2312" w:hAnsi="仿宋_GB2312" w:cs="仿宋_GB2312"/>
          <w:sz w:val="32"/>
          <w:szCs w:val="32"/>
          <w:highlight w:val="none"/>
          <w:u w:val="none"/>
          <w:lang w:val="en-US" w:eastAsia="zh-CN"/>
        </w:rPr>
        <w:t>5.5</w:t>
      </w:r>
      <w:r>
        <w:rPr>
          <w:rFonts w:hint="eastAsia" w:ascii="仿宋_GB2312" w:hAnsi="仿宋_GB2312" w:eastAsia="仿宋_GB2312" w:cs="仿宋_GB2312"/>
          <w:sz w:val="32"/>
          <w:szCs w:val="32"/>
          <w:highlight w:val="none"/>
          <w:u w:val="none"/>
          <w:lang w:val="en-US" w:eastAsia="zh-CN"/>
        </w:rPr>
        <w:t>%左</w:t>
      </w:r>
      <w:r>
        <w:rPr>
          <w:rFonts w:hint="eastAsia" w:ascii="仿宋_GB2312" w:hAnsi="仿宋_GB2312" w:eastAsia="仿宋_GB2312" w:cs="仿宋_GB2312"/>
          <w:sz w:val="32"/>
          <w:szCs w:val="32"/>
          <w:highlight w:val="none"/>
          <w:u w:val="none"/>
        </w:rPr>
        <w:t>右</w:t>
      </w:r>
      <w:r>
        <w:rPr>
          <w:rFonts w:hint="eastAsia" w:ascii="仿宋_GB2312" w:hAnsi="仿宋_GB2312" w:cs="仿宋_GB2312"/>
          <w:sz w:val="32"/>
          <w:szCs w:val="32"/>
          <w:highlight w:val="none"/>
          <w:u w:val="none"/>
          <w:lang w:eastAsia="zh-CN"/>
        </w:rPr>
        <w:t>；</w:t>
      </w:r>
    </w:p>
    <w:p w14:paraId="23425176">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规模以上工业增加值增长</w:t>
      </w:r>
      <w:r>
        <w:rPr>
          <w:rFonts w:hint="eastAsia" w:ascii="仿宋_GB2312" w:hAnsi="仿宋_GB2312" w:cs="仿宋_GB2312"/>
          <w:sz w:val="32"/>
          <w:szCs w:val="32"/>
          <w:highlight w:val="none"/>
          <w:u w:val="none"/>
          <w:lang w:val="en-US" w:eastAsia="zh-CN"/>
        </w:rPr>
        <w:t>8.0</w:t>
      </w:r>
      <w:r>
        <w:rPr>
          <w:rFonts w:hint="eastAsia" w:ascii="仿宋_GB2312" w:hAnsi="仿宋_GB2312" w:eastAsia="仿宋_GB2312" w:cs="仿宋_GB2312"/>
          <w:sz w:val="32"/>
          <w:szCs w:val="32"/>
          <w:highlight w:val="none"/>
          <w:u w:val="none"/>
          <w:lang w:val="en-US" w:eastAsia="zh-CN"/>
        </w:rPr>
        <w:t>%左右</w:t>
      </w:r>
      <w:r>
        <w:rPr>
          <w:rFonts w:hint="eastAsia" w:ascii="仿宋_GB2312" w:hAnsi="仿宋_GB2312" w:cs="仿宋_GB2312"/>
          <w:sz w:val="32"/>
          <w:szCs w:val="32"/>
          <w:highlight w:val="none"/>
          <w:u w:val="none"/>
          <w:lang w:eastAsia="zh-CN"/>
        </w:rPr>
        <w:t>；</w:t>
      </w:r>
    </w:p>
    <w:p w14:paraId="67221AA5">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社会消费品零售总额增长</w:t>
      </w:r>
      <w:r>
        <w:rPr>
          <w:rFonts w:hint="eastAsia" w:ascii="仿宋_GB2312" w:hAnsi="仿宋_GB2312" w:cs="仿宋_GB2312"/>
          <w:sz w:val="32"/>
          <w:szCs w:val="32"/>
          <w:highlight w:val="none"/>
          <w:u w:val="none"/>
          <w:lang w:val="en-US" w:eastAsia="zh-CN"/>
        </w:rPr>
        <w:t>5.0</w:t>
      </w:r>
      <w:r>
        <w:rPr>
          <w:rFonts w:hint="eastAsia" w:ascii="仿宋_GB2312" w:hAnsi="仿宋_GB2312" w:eastAsia="仿宋_GB2312" w:cs="仿宋_GB2312"/>
          <w:sz w:val="32"/>
          <w:szCs w:val="32"/>
          <w:highlight w:val="none"/>
          <w:u w:val="none"/>
          <w:lang w:val="en-US" w:eastAsia="zh-CN"/>
        </w:rPr>
        <w:t>%左右</w:t>
      </w:r>
      <w:r>
        <w:rPr>
          <w:rFonts w:hint="eastAsia" w:ascii="仿宋_GB2312" w:hAnsi="仿宋_GB2312" w:cs="仿宋_GB2312"/>
          <w:sz w:val="32"/>
          <w:szCs w:val="32"/>
          <w:highlight w:val="none"/>
          <w:u w:val="none"/>
          <w:lang w:eastAsia="zh-CN"/>
        </w:rPr>
        <w:t>；</w:t>
      </w:r>
    </w:p>
    <w:p w14:paraId="3B34AAB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城镇居民人均可支配收入增长</w:t>
      </w:r>
      <w:r>
        <w:rPr>
          <w:rFonts w:hint="eastAsia" w:ascii="仿宋_GB2312" w:hAnsi="仿宋_GB2312" w:cs="仿宋_GB2312"/>
          <w:sz w:val="32"/>
          <w:szCs w:val="32"/>
          <w:highlight w:val="none"/>
          <w:u w:val="none"/>
          <w:lang w:val="en-US" w:eastAsia="zh-CN"/>
        </w:rPr>
        <w:t>5.0</w:t>
      </w:r>
      <w:r>
        <w:rPr>
          <w:rFonts w:hint="eastAsia" w:ascii="仿宋_GB2312" w:hAnsi="仿宋_GB2312" w:eastAsia="仿宋_GB2312" w:cs="仿宋_GB2312"/>
          <w:sz w:val="32"/>
          <w:szCs w:val="32"/>
          <w:highlight w:val="none"/>
          <w:u w:val="none"/>
          <w:lang w:val="en-US" w:eastAsia="zh-CN"/>
        </w:rPr>
        <w:t>%左右。</w:t>
      </w:r>
    </w:p>
    <w:p w14:paraId="61BAA1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u w:val="none"/>
        </w:rPr>
      </w:pPr>
      <w:r>
        <w:rPr>
          <w:rFonts w:hint="eastAsia" w:ascii="黑体" w:hAnsi="黑体" w:eastAsia="黑体" w:cs="黑体"/>
          <w:sz w:val="32"/>
          <w:szCs w:val="32"/>
          <w:u w:val="none"/>
          <w:lang w:val="en-US" w:eastAsia="zh-CN"/>
        </w:rPr>
        <w:t>三</w:t>
      </w:r>
      <w:r>
        <w:rPr>
          <w:rFonts w:hint="eastAsia" w:ascii="黑体" w:hAnsi="黑体" w:eastAsia="黑体" w:cs="黑体"/>
          <w:sz w:val="32"/>
          <w:szCs w:val="32"/>
          <w:u w:val="none"/>
        </w:rPr>
        <w:t>、202</w:t>
      </w:r>
      <w:r>
        <w:rPr>
          <w:rFonts w:hint="eastAsia" w:ascii="黑体" w:hAnsi="黑体" w:eastAsia="黑体" w:cs="黑体"/>
          <w:sz w:val="32"/>
          <w:szCs w:val="32"/>
          <w:u w:val="none"/>
          <w:lang w:val="en-US" w:eastAsia="zh-CN"/>
        </w:rPr>
        <w:t>5</w:t>
      </w:r>
      <w:r>
        <w:rPr>
          <w:rFonts w:hint="eastAsia" w:ascii="黑体" w:hAnsi="黑体" w:eastAsia="黑体" w:cs="黑体"/>
          <w:sz w:val="32"/>
          <w:szCs w:val="32"/>
          <w:u w:val="none"/>
        </w:rPr>
        <w:t>年经济社会发展重点任务</w:t>
      </w:r>
    </w:p>
    <w:p w14:paraId="64968856">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0" w:firstLineChars="200"/>
        <w:jc w:val="both"/>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为实现预期目标,</w:t>
      </w:r>
      <w:r>
        <w:rPr>
          <w:rFonts w:hint="eastAsia" w:ascii="仿宋_GB2312" w:hAnsi="仿宋_GB2312" w:eastAsia="仿宋_GB2312" w:cs="仿宋_GB2312"/>
          <w:sz w:val="32"/>
          <w:szCs w:val="32"/>
          <w:u w:val="none"/>
          <w:lang w:val="en-US" w:eastAsia="zh-CN"/>
        </w:rPr>
        <w:t>全区上下</w:t>
      </w:r>
      <w:r>
        <w:rPr>
          <w:rFonts w:hint="eastAsia" w:ascii="仿宋_GB2312" w:hAnsi="仿宋_GB2312" w:eastAsia="仿宋_GB2312" w:cs="仿宋_GB2312"/>
          <w:sz w:val="32"/>
          <w:szCs w:val="32"/>
          <w:u w:val="none"/>
        </w:rPr>
        <w:t>必须牢牢把握中央、省委、市委对经济形势作出的重大判断、对经济工作作出的重大决策,坚持问题导向、目标导向、结果导向</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统筹谋划、突出重点、精准发力</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重点抓好以下</w:t>
      </w:r>
      <w:r>
        <w:rPr>
          <w:rFonts w:hint="eastAsia" w:ascii="仿宋_GB2312" w:hAnsi="仿宋_GB2312" w:cs="仿宋_GB2312"/>
          <w:sz w:val="32"/>
          <w:szCs w:val="32"/>
          <w:u w:val="none"/>
          <w:lang w:val="en-US" w:eastAsia="zh-CN"/>
        </w:rPr>
        <w:t>四</w:t>
      </w:r>
      <w:r>
        <w:rPr>
          <w:rFonts w:hint="eastAsia" w:ascii="仿宋_GB2312" w:hAnsi="仿宋_GB2312" w:eastAsia="仿宋_GB2312" w:cs="仿宋_GB2312"/>
          <w:sz w:val="32"/>
          <w:szCs w:val="32"/>
          <w:u w:val="none"/>
        </w:rPr>
        <w:t>个方面的工作。</w:t>
      </w:r>
    </w:p>
    <w:p w14:paraId="743C13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（一）强规划、推项目，统筹兼顾稳发展</w:t>
      </w:r>
    </w:p>
    <w:p w14:paraId="388309F6">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3" w:firstLineChars="200"/>
        <w:jc w:val="both"/>
        <w:textAlignment w:val="auto"/>
        <w:rPr>
          <w:rFonts w:hint="default" w:ascii="仿宋_GB2312" w:hAnsi="仿宋_GB2312" w:eastAsia="仿宋_GB2312" w:cs="仿宋_GB2312"/>
          <w:color w:val="auto"/>
          <w:kern w:val="2"/>
          <w:sz w:val="32"/>
          <w:szCs w:val="32"/>
          <w:u w:val="none"/>
          <w:lang w:val="en-US" w:eastAsia="zh-CN"/>
        </w:rPr>
      </w:pPr>
      <w:r>
        <w:rPr>
          <w:rFonts w:hint="eastAsia" w:ascii="仿宋_GB2312" w:hAnsi="仿宋_GB2312" w:eastAsia="仿宋_GB2312" w:cs="仿宋_GB2312"/>
          <w:b/>
          <w:bCs w:val="0"/>
          <w:color w:val="000000"/>
          <w:kern w:val="0"/>
          <w:sz w:val="32"/>
          <w:szCs w:val="32"/>
          <w:u w:val="none"/>
          <w:lang w:val="en-US" w:eastAsia="zh-CN" w:bidi="ar"/>
        </w:rPr>
        <w:t>一是强化规划</w:t>
      </w:r>
      <w:r>
        <w:rPr>
          <w:rFonts w:hint="eastAsia" w:ascii="仿宋_GB2312" w:hAnsi="仿宋_GB2312" w:cs="仿宋_GB2312"/>
          <w:b/>
          <w:bCs w:val="0"/>
          <w:color w:val="000000"/>
          <w:kern w:val="0"/>
          <w:sz w:val="32"/>
          <w:szCs w:val="32"/>
          <w:u w:val="none"/>
          <w:lang w:val="en-US" w:eastAsia="zh-CN" w:bidi="ar"/>
        </w:rPr>
        <w:t>统筹</w:t>
      </w:r>
      <w:r>
        <w:rPr>
          <w:rFonts w:hint="eastAsia" w:ascii="仿宋_GB2312" w:hAnsi="仿宋_GB2312" w:eastAsia="仿宋_GB2312" w:cs="仿宋_GB2312"/>
          <w:b/>
          <w:bCs w:val="0"/>
          <w:color w:val="000000"/>
          <w:kern w:val="0"/>
          <w:sz w:val="32"/>
          <w:szCs w:val="32"/>
          <w:u w:val="none"/>
          <w:lang w:val="en-US" w:eastAsia="zh-CN" w:bidi="ar"/>
        </w:rPr>
        <w:t>引领。</w:t>
      </w:r>
      <w:r>
        <w:rPr>
          <w:rFonts w:hint="eastAsia" w:ascii="仿宋_GB2312" w:hAnsi="仿宋_GB2312" w:cs="仿宋_GB2312"/>
          <w:color w:val="auto"/>
          <w:kern w:val="2"/>
          <w:sz w:val="32"/>
          <w:szCs w:val="32"/>
          <w:u w:val="none"/>
          <w:lang w:val="en-US" w:eastAsia="zh-CN"/>
        </w:rPr>
        <w:t>抢抓政策释放的红利期与跨越发展的机遇期</w:t>
      </w:r>
      <w:r>
        <w:rPr>
          <w:rFonts w:hint="eastAsia" w:ascii="仿宋_GB2312" w:hAnsi="仿宋_GB2312" w:eastAsia="仿宋_GB2312" w:cs="仿宋_GB2312"/>
          <w:color w:val="auto"/>
          <w:kern w:val="2"/>
          <w:sz w:val="32"/>
          <w:szCs w:val="32"/>
          <w:u w:val="none"/>
          <w:lang w:val="en-US" w:eastAsia="zh-CN"/>
        </w:rPr>
        <w:t>，高站位早行动，</w:t>
      </w:r>
      <w:r>
        <w:rPr>
          <w:rFonts w:hint="eastAsia" w:ascii="仿宋_GB2312" w:hAnsi="仿宋_GB2312" w:cs="仿宋_GB2312"/>
          <w:color w:val="auto"/>
          <w:kern w:val="2"/>
          <w:sz w:val="32"/>
          <w:szCs w:val="32"/>
          <w:u w:val="none"/>
          <w:lang w:val="en-US" w:eastAsia="zh-CN"/>
        </w:rPr>
        <w:t>把握关键抓重点，</w:t>
      </w:r>
      <w:r>
        <w:rPr>
          <w:rFonts w:hint="eastAsia" w:ascii="仿宋_GB2312" w:hAnsi="仿宋_GB2312" w:eastAsia="仿宋_GB2312" w:cs="仿宋_GB2312"/>
          <w:color w:val="auto"/>
          <w:kern w:val="2"/>
          <w:sz w:val="32"/>
          <w:szCs w:val="32"/>
          <w:u w:val="none"/>
          <w:lang w:val="en-US" w:eastAsia="zh-CN"/>
        </w:rPr>
        <w:t>聚焦</w:t>
      </w:r>
      <w:r>
        <w:rPr>
          <w:rFonts w:hint="eastAsia" w:ascii="仿宋_GB2312" w:hAnsi="仿宋_GB2312" w:cs="仿宋_GB2312"/>
          <w:color w:val="auto"/>
          <w:kern w:val="2"/>
          <w:sz w:val="32"/>
          <w:szCs w:val="32"/>
          <w:u w:val="none"/>
          <w:lang w:val="en-US" w:eastAsia="zh-CN"/>
        </w:rPr>
        <w:t>目标抓成效</w:t>
      </w:r>
      <w:r>
        <w:rPr>
          <w:rFonts w:hint="eastAsia" w:ascii="仿宋_GB2312" w:hAnsi="仿宋_GB2312" w:eastAsia="仿宋_GB2312" w:cs="仿宋_GB2312"/>
          <w:color w:val="auto"/>
          <w:kern w:val="2"/>
          <w:sz w:val="32"/>
          <w:szCs w:val="32"/>
          <w:u w:val="none"/>
          <w:lang w:val="en-US" w:eastAsia="zh-CN"/>
        </w:rPr>
        <w:t>，</w:t>
      </w:r>
      <w:r>
        <w:rPr>
          <w:rFonts w:hint="eastAsia" w:ascii="仿宋_GB2312" w:hAnsi="仿宋_GB2312" w:cs="仿宋_GB2312"/>
          <w:color w:val="auto"/>
          <w:kern w:val="2"/>
          <w:sz w:val="32"/>
          <w:szCs w:val="32"/>
          <w:u w:val="none"/>
          <w:lang w:val="en-US" w:eastAsia="zh-CN"/>
        </w:rPr>
        <w:t>高质量完成“十四五”规划目标任务</w:t>
      </w:r>
      <w:r>
        <w:rPr>
          <w:rFonts w:hint="eastAsia" w:ascii="仿宋_GB2312" w:hAnsi="仿宋_GB2312" w:eastAsia="仿宋_GB2312" w:cs="仿宋_GB2312"/>
          <w:color w:val="auto"/>
          <w:kern w:val="2"/>
          <w:sz w:val="32"/>
          <w:szCs w:val="32"/>
          <w:u w:val="none"/>
          <w:lang w:val="en-US" w:eastAsia="zh-CN"/>
        </w:rPr>
        <w:t>，为实现“十五五”良好开局打牢基础。</w:t>
      </w:r>
      <w:r>
        <w:rPr>
          <w:rFonts w:hint="eastAsia" w:ascii="仿宋_GB2312" w:hAnsi="仿宋_GB2312" w:cs="仿宋_GB2312"/>
          <w:color w:val="auto"/>
          <w:kern w:val="2"/>
          <w:sz w:val="32"/>
          <w:szCs w:val="32"/>
          <w:u w:val="none"/>
          <w:lang w:val="en-US" w:eastAsia="zh-CN"/>
        </w:rPr>
        <w:t>深入挖掘青云谱区历史文化底蕴，紧密结合洪都老工业区的特色与现状，研判转型发展需求，将洪都老工业区的产业发展有机融入“十五五”规划之中，进行全方位、系统性的统筹谋划与设计。</w:t>
      </w:r>
    </w:p>
    <w:p w14:paraId="4736FFA9">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color w:val="auto"/>
          <w:kern w:val="2"/>
          <w:sz w:val="32"/>
          <w:szCs w:val="32"/>
          <w:u w:val="none"/>
          <w:lang w:val="en-US" w:eastAsia="zh-CN"/>
        </w:rPr>
        <w:t>二是</w:t>
      </w:r>
      <w:r>
        <w:rPr>
          <w:rFonts w:hint="eastAsia" w:ascii="仿宋_GB2312" w:hAnsi="仿宋_GB2312" w:cs="仿宋_GB2312"/>
          <w:b/>
          <w:bCs/>
          <w:color w:val="auto"/>
          <w:kern w:val="2"/>
          <w:sz w:val="32"/>
          <w:szCs w:val="32"/>
          <w:u w:val="none"/>
          <w:lang w:val="en-US" w:eastAsia="zh-CN"/>
        </w:rPr>
        <w:t>构建产业发展布局。</w:t>
      </w:r>
      <w:r>
        <w:rPr>
          <w:rFonts w:hint="eastAsia" w:ascii="仿宋_GB2312" w:hAnsi="仿宋_GB2312" w:eastAsia="仿宋_GB2312" w:cs="仿宋_GB2312"/>
          <w:sz w:val="32"/>
          <w:szCs w:val="32"/>
          <w:u w:val="none"/>
          <w:lang w:val="en-US" w:eastAsia="zh-CN"/>
        </w:rPr>
        <w:t>进一步深入</w:t>
      </w:r>
      <w:r>
        <w:rPr>
          <w:rFonts w:hint="eastAsia" w:ascii="仿宋_GB2312" w:hAnsi="仿宋_GB2312" w:cs="仿宋_GB2312"/>
          <w:b w:val="0"/>
          <w:bCs w:val="0"/>
          <w:color w:val="auto"/>
          <w:kern w:val="2"/>
          <w:sz w:val="32"/>
          <w:szCs w:val="32"/>
          <w:u w:val="none"/>
          <w:lang w:val="en-US" w:eastAsia="zh-CN"/>
        </w:rPr>
        <w:t>推动</w:t>
      </w:r>
      <w:r>
        <w:rPr>
          <w:rFonts w:hint="eastAsia" w:ascii="仿宋_GB2312" w:hAnsi="仿宋_GB2312" w:eastAsia="仿宋_GB2312" w:cs="仿宋_GB2312"/>
          <w:b w:val="0"/>
          <w:bCs w:val="0"/>
          <w:color w:val="auto"/>
          <w:kern w:val="2"/>
          <w:sz w:val="32"/>
          <w:szCs w:val="32"/>
          <w:u w:val="none"/>
          <w:lang w:val="en-US" w:eastAsia="zh-CN"/>
        </w:rPr>
        <w:t>产业能级提升行动，</w:t>
      </w:r>
      <w:r>
        <w:rPr>
          <w:rFonts w:hint="eastAsia" w:ascii="仿宋_GB2312" w:hAnsi="仿宋_GB2312" w:cs="仿宋_GB2312"/>
          <w:sz w:val="32"/>
          <w:szCs w:val="32"/>
          <w:u w:val="none"/>
          <w:lang w:val="en-US" w:eastAsia="zh-CN"/>
        </w:rPr>
        <w:t>细致研究国家一揽子增量政策</w:t>
      </w:r>
      <w:r>
        <w:rPr>
          <w:rFonts w:hint="eastAsia" w:ascii="仿宋_GB2312" w:hAnsi="仿宋_GB2312" w:eastAsia="仿宋_GB2312" w:cs="仿宋_GB2312"/>
          <w:sz w:val="32"/>
          <w:szCs w:val="32"/>
          <w:u w:val="none"/>
          <w:lang w:val="en-US" w:eastAsia="zh-CN"/>
        </w:rPr>
        <w:t>，探索出台具有青云谱特色的产业政策，发展壮大</w:t>
      </w:r>
      <w:r>
        <w:rPr>
          <w:rFonts w:hint="eastAsia" w:ascii="仿宋_GB2312" w:hAnsi="仿宋_GB2312" w:eastAsia="仿宋_GB2312" w:cs="仿宋_GB2312"/>
          <w:sz w:val="32"/>
          <w:szCs w:val="32"/>
          <w:u w:val="none"/>
        </w:rPr>
        <w:t>“3+3+X”</w:t>
      </w:r>
      <w:r>
        <w:rPr>
          <w:rFonts w:hint="eastAsia" w:ascii="仿宋_GB2312" w:hAnsi="仿宋_GB2312" w:eastAsia="仿宋_GB2312" w:cs="仿宋_GB2312"/>
          <w:sz w:val="32"/>
          <w:szCs w:val="32"/>
          <w:u w:val="none"/>
          <w:lang w:val="en-US" w:eastAsia="zh-CN"/>
        </w:rPr>
        <w:t>现代产业体系。助力建筑业、商贸物流、文化旅游等传统产业“焕发新机”，推动都市工业、</w:t>
      </w:r>
      <w:r>
        <w:rPr>
          <w:rFonts w:hint="eastAsia" w:ascii="仿宋_GB2312" w:hAnsi="仿宋_GB2312" w:cs="仿宋_GB2312"/>
          <w:sz w:val="32"/>
          <w:szCs w:val="32"/>
          <w:u w:val="none"/>
          <w:lang w:val="en-US" w:eastAsia="zh-CN"/>
        </w:rPr>
        <w:t>生命</w:t>
      </w:r>
      <w:r>
        <w:rPr>
          <w:rFonts w:hint="eastAsia" w:ascii="仿宋_GB2312" w:hAnsi="仿宋_GB2312" w:eastAsia="仿宋_GB2312" w:cs="仿宋_GB2312"/>
          <w:sz w:val="32"/>
          <w:szCs w:val="32"/>
          <w:u w:val="none"/>
          <w:lang w:val="en-US" w:eastAsia="zh-CN"/>
        </w:rPr>
        <w:t>健康、数字</w:t>
      </w:r>
      <w:r>
        <w:rPr>
          <w:rFonts w:hint="eastAsia" w:ascii="仿宋_GB2312" w:hAnsi="仿宋_GB2312" w:cs="仿宋_GB2312"/>
          <w:sz w:val="32"/>
          <w:szCs w:val="32"/>
          <w:u w:val="none"/>
          <w:lang w:val="en-US" w:eastAsia="zh-CN"/>
        </w:rPr>
        <w:t>创意</w:t>
      </w:r>
      <w:r>
        <w:rPr>
          <w:rFonts w:hint="eastAsia" w:ascii="仿宋_GB2312" w:hAnsi="仿宋_GB2312" w:eastAsia="仿宋_GB2312" w:cs="仿宋_GB2312"/>
          <w:sz w:val="32"/>
          <w:szCs w:val="32"/>
          <w:u w:val="none"/>
          <w:lang w:val="en-US" w:eastAsia="zh-CN"/>
        </w:rPr>
        <w:t>等新兴产业聚链成群，重点在未来信息、未来健康等方面布局新赛道、抢占新机遇。深入开展青云谱区服务业发展行动计划，加快推进服务业转型升级</w:t>
      </w:r>
      <w:r>
        <w:rPr>
          <w:rFonts w:hint="eastAsia" w:ascii="仿宋_GB2312" w:hAnsi="仿宋_GB2312" w:cs="仿宋_GB2312"/>
          <w:sz w:val="32"/>
          <w:szCs w:val="32"/>
          <w:u w:val="none"/>
          <w:lang w:val="en-US" w:eastAsia="zh-CN"/>
        </w:rPr>
        <w:t>。</w:t>
      </w:r>
      <w:r>
        <w:rPr>
          <w:rFonts w:hint="eastAsia" w:ascii="仿宋_GB2312" w:hAnsi="仿宋_GB2312" w:eastAsia="仿宋_GB2312" w:cs="仿宋_GB2312"/>
          <w:sz w:val="32"/>
          <w:szCs w:val="32"/>
          <w:highlight w:val="none"/>
          <w:u w:val="none"/>
          <w:lang w:val="en-US" w:eastAsia="zh-CN"/>
        </w:rPr>
        <w:t>推动数字经济与实体经济深度融合，不断做强做优颐高</w:t>
      </w:r>
      <w:r>
        <w:rPr>
          <w:rFonts w:hint="eastAsia" w:ascii="仿宋_GB2312" w:hAnsi="仿宋_GB2312" w:cs="仿宋_GB2312"/>
          <w:sz w:val="32"/>
          <w:szCs w:val="32"/>
          <w:highlight w:val="none"/>
          <w:u w:val="none"/>
          <w:lang w:val="en-US" w:eastAsia="zh-CN"/>
        </w:rPr>
        <w:t>、云观等</w:t>
      </w:r>
      <w:r>
        <w:rPr>
          <w:rFonts w:hint="eastAsia" w:ascii="仿宋_GB2312" w:hAnsi="仿宋_GB2312" w:eastAsia="仿宋_GB2312" w:cs="仿宋_GB2312"/>
          <w:sz w:val="32"/>
          <w:szCs w:val="32"/>
          <w:highlight w:val="none"/>
          <w:u w:val="none"/>
          <w:lang w:val="en-US" w:eastAsia="zh-CN"/>
        </w:rPr>
        <w:t>数字产业</w:t>
      </w:r>
      <w:r>
        <w:rPr>
          <w:rFonts w:hint="eastAsia" w:ascii="仿宋_GB2312" w:hAnsi="仿宋_GB2312" w:cs="仿宋_GB2312"/>
          <w:sz w:val="32"/>
          <w:szCs w:val="32"/>
          <w:highlight w:val="none"/>
          <w:u w:val="none"/>
          <w:lang w:val="en-US" w:eastAsia="zh-CN"/>
        </w:rPr>
        <w:t>园</w:t>
      </w:r>
      <w:r>
        <w:rPr>
          <w:rFonts w:hint="eastAsia" w:ascii="仿宋_GB2312" w:hAnsi="仿宋_GB2312" w:eastAsia="仿宋_GB2312" w:cs="仿宋_GB2312"/>
          <w:sz w:val="32"/>
          <w:szCs w:val="32"/>
          <w:highlight w:val="none"/>
          <w:u w:val="none"/>
          <w:lang w:val="en-US" w:eastAsia="zh-CN"/>
        </w:rPr>
        <w:t>区，</w:t>
      </w:r>
      <w:r>
        <w:rPr>
          <w:rFonts w:hint="eastAsia" w:ascii="仿宋_GB2312" w:hAnsi="仿宋_GB2312" w:cs="仿宋_GB2312"/>
          <w:sz w:val="32"/>
          <w:szCs w:val="32"/>
          <w:highlight w:val="none"/>
          <w:u w:val="none"/>
          <w:lang w:val="en-US" w:eastAsia="zh-CN"/>
        </w:rPr>
        <w:t>力争数字经济核心产业企业营收达18亿元，</w:t>
      </w:r>
      <w:r>
        <w:rPr>
          <w:rFonts w:hint="eastAsia" w:ascii="仿宋_GB2312" w:hAnsi="仿宋_GB2312" w:eastAsia="仿宋_GB2312" w:cs="仿宋_GB2312"/>
          <w:sz w:val="32"/>
          <w:szCs w:val="32"/>
          <w:u w:val="none"/>
          <w:lang w:val="en-US" w:eastAsia="zh-CN"/>
        </w:rPr>
        <w:t>全区生产性服务业增加值突破100亿元，生产性服务业增加值占服务业增加值比重达54%。</w:t>
      </w:r>
    </w:p>
    <w:p w14:paraId="1C38F74C">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3" w:firstLineChars="200"/>
        <w:jc w:val="both"/>
        <w:textAlignment w:val="auto"/>
        <w:rPr>
          <w:rFonts w:hint="eastAsia" w:ascii="仿宋_GB2312" w:hAnsi="仿宋_GB2312" w:eastAsia="仿宋_GB2312" w:cs="仿宋_GB2312"/>
          <w:color w:val="000000"/>
          <w:kern w:val="2"/>
          <w:sz w:val="32"/>
          <w:szCs w:val="32"/>
          <w:u w:val="none"/>
          <w:lang w:val="en-US" w:eastAsia="zh-CN" w:bidi="ar-SA"/>
        </w:rPr>
      </w:pPr>
      <w:r>
        <w:rPr>
          <w:rFonts w:hint="eastAsia" w:ascii="仿宋_GB2312" w:hAnsi="仿宋_GB2312" w:cs="仿宋_GB2312"/>
          <w:b/>
          <w:bCs/>
          <w:color w:val="auto"/>
          <w:kern w:val="2"/>
          <w:sz w:val="32"/>
          <w:szCs w:val="32"/>
          <w:u w:val="none"/>
          <w:lang w:val="en-US" w:eastAsia="zh-CN"/>
        </w:rPr>
        <w:t>三</w:t>
      </w:r>
      <w:r>
        <w:rPr>
          <w:rFonts w:hint="eastAsia" w:ascii="仿宋_GB2312" w:hAnsi="仿宋_GB2312" w:eastAsia="仿宋_GB2312" w:cs="仿宋_GB2312"/>
          <w:b/>
          <w:bCs/>
          <w:color w:val="auto"/>
          <w:kern w:val="2"/>
          <w:sz w:val="32"/>
          <w:szCs w:val="32"/>
          <w:u w:val="none"/>
          <w:lang w:val="en-US" w:eastAsia="zh-CN"/>
        </w:rPr>
        <w:t>是加强项目</w:t>
      </w:r>
      <w:r>
        <w:rPr>
          <w:rFonts w:hint="eastAsia" w:ascii="仿宋_GB2312" w:hAnsi="仿宋_GB2312" w:cs="仿宋_GB2312"/>
          <w:b/>
          <w:bCs/>
          <w:color w:val="auto"/>
          <w:kern w:val="2"/>
          <w:sz w:val="32"/>
          <w:szCs w:val="32"/>
          <w:u w:val="none"/>
          <w:lang w:val="en-US" w:eastAsia="zh-CN"/>
        </w:rPr>
        <w:t>储备</w:t>
      </w:r>
      <w:r>
        <w:rPr>
          <w:rFonts w:hint="eastAsia" w:ascii="仿宋_GB2312" w:hAnsi="仿宋_GB2312" w:eastAsia="仿宋_GB2312" w:cs="仿宋_GB2312"/>
          <w:b/>
          <w:bCs/>
          <w:color w:val="auto"/>
          <w:kern w:val="2"/>
          <w:sz w:val="32"/>
          <w:szCs w:val="32"/>
          <w:u w:val="none"/>
          <w:lang w:val="en-US" w:eastAsia="zh-CN"/>
        </w:rPr>
        <w:t>支撑</w:t>
      </w:r>
      <w:r>
        <w:rPr>
          <w:rFonts w:hint="eastAsia" w:ascii="仿宋_GB2312" w:hAnsi="仿宋_GB2312" w:eastAsia="仿宋_GB2312" w:cs="仿宋_GB2312"/>
          <w:b/>
          <w:bCs w:val="0"/>
          <w:color w:val="000000"/>
          <w:kern w:val="0"/>
          <w:sz w:val="32"/>
          <w:szCs w:val="32"/>
          <w:u w:val="none"/>
          <w:lang w:val="en-US" w:eastAsia="zh-CN" w:bidi="ar"/>
        </w:rPr>
        <w:t>。</w:t>
      </w:r>
      <w:r>
        <w:rPr>
          <w:rFonts w:hint="eastAsia" w:ascii="仿宋_GB2312" w:hAnsi="仿宋_GB2312" w:eastAsia="仿宋_GB2312" w:cs="仿宋_GB2312"/>
          <w:b w:val="0"/>
          <w:bCs/>
          <w:color w:val="auto"/>
          <w:kern w:val="0"/>
          <w:sz w:val="32"/>
          <w:szCs w:val="32"/>
          <w:highlight w:val="none"/>
          <w:u w:val="none"/>
          <w:lang w:val="en-US" w:eastAsia="zh-CN" w:bidi="ar"/>
        </w:rPr>
        <w:t>聚焦国家重大战略部署和政策导向，紧盯超长期特别国债、中央预算内资金、政府专项债券等上级资金投向领域和申报要求，精心谋划和储备</w:t>
      </w:r>
      <w:r>
        <w:rPr>
          <w:rFonts w:hint="eastAsia" w:ascii="仿宋_GB2312" w:hAnsi="仿宋_GB2312" w:cs="仿宋_GB2312"/>
          <w:b w:val="0"/>
          <w:bCs/>
          <w:color w:val="auto"/>
          <w:kern w:val="0"/>
          <w:sz w:val="32"/>
          <w:szCs w:val="32"/>
          <w:highlight w:val="none"/>
          <w:u w:val="none"/>
          <w:lang w:val="en-US" w:eastAsia="zh-CN" w:bidi="ar"/>
        </w:rPr>
        <w:t>一批</w:t>
      </w:r>
      <w:r>
        <w:rPr>
          <w:rFonts w:hint="eastAsia" w:ascii="仿宋_GB2312" w:hAnsi="仿宋_GB2312" w:eastAsia="仿宋_GB2312" w:cs="仿宋_GB2312"/>
          <w:b w:val="0"/>
          <w:bCs/>
          <w:color w:val="auto"/>
          <w:kern w:val="0"/>
          <w:sz w:val="32"/>
          <w:szCs w:val="32"/>
          <w:highlight w:val="none"/>
          <w:u w:val="none"/>
          <w:lang w:val="en-US" w:eastAsia="zh-CN" w:bidi="ar"/>
        </w:rPr>
        <w:t>符合国家导向、投资效益好的产业、基础设施以及民生保障项目，建立滚动更新、分级分类的重大项目储备库，加强与上级部门对接力度，</w:t>
      </w:r>
      <w:r>
        <w:rPr>
          <w:rFonts w:hint="eastAsia" w:ascii="仿宋_GB2312" w:hAnsi="仿宋_GB2312" w:cs="仿宋_GB2312"/>
          <w:b w:val="0"/>
          <w:bCs/>
          <w:color w:val="auto"/>
          <w:kern w:val="0"/>
          <w:sz w:val="32"/>
          <w:szCs w:val="32"/>
          <w:highlight w:val="none"/>
          <w:u w:val="none"/>
          <w:lang w:val="en-US" w:eastAsia="zh-CN" w:bidi="ar"/>
        </w:rPr>
        <w:t>重点谋划“十五五”重大项目，</w:t>
      </w:r>
      <w:r>
        <w:rPr>
          <w:rFonts w:hint="eastAsia" w:ascii="仿宋_GB2312" w:hAnsi="仿宋_GB2312" w:eastAsia="仿宋_GB2312" w:cs="仿宋_GB2312"/>
          <w:b w:val="0"/>
          <w:bCs/>
          <w:color w:val="auto"/>
          <w:kern w:val="0"/>
          <w:sz w:val="32"/>
          <w:szCs w:val="32"/>
          <w:highlight w:val="none"/>
          <w:u w:val="none"/>
          <w:lang w:val="en-US" w:eastAsia="zh-CN" w:bidi="ar"/>
        </w:rPr>
        <w:t>力争更多的项目纳入国家、省、市规划盘子。推动190个重大重点项目尽早投产达效，力争完成年度投资310亿元以上。全力保障警民路、洪都大道快速路、轨道京家山开发项目及城中村改造等重点项目的用地需求。</w:t>
      </w:r>
    </w:p>
    <w:p w14:paraId="177FE0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（二）多举措、优环境，提质增效促发展</w:t>
      </w:r>
    </w:p>
    <w:p w14:paraId="515E4A5C">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b/>
          <w:bCs/>
          <w:color w:val="auto"/>
          <w:kern w:val="2"/>
          <w:sz w:val="32"/>
          <w:szCs w:val="32"/>
          <w:u w:val="none"/>
          <w:lang w:val="en-US" w:eastAsia="zh-CN"/>
        </w:rPr>
        <w:t>一是</w:t>
      </w:r>
      <w:r>
        <w:rPr>
          <w:rFonts w:hint="eastAsia" w:ascii="仿宋_GB2312" w:hAnsi="仿宋_GB2312" w:cs="仿宋_GB2312"/>
          <w:b/>
          <w:bCs/>
          <w:color w:val="auto"/>
          <w:kern w:val="2"/>
          <w:sz w:val="32"/>
          <w:szCs w:val="32"/>
          <w:u w:val="none"/>
          <w:lang w:val="en-US" w:eastAsia="zh-CN"/>
        </w:rPr>
        <w:t>全力</w:t>
      </w:r>
      <w:r>
        <w:rPr>
          <w:rFonts w:hint="eastAsia" w:ascii="仿宋_GB2312" w:hAnsi="仿宋_GB2312" w:eastAsia="仿宋_GB2312" w:cs="仿宋_GB2312"/>
          <w:b/>
          <w:bCs/>
          <w:color w:val="auto"/>
          <w:kern w:val="2"/>
          <w:sz w:val="32"/>
          <w:szCs w:val="32"/>
          <w:u w:val="none"/>
          <w:lang w:val="en-US" w:eastAsia="zh-CN"/>
        </w:rPr>
        <w:t>优化营商环境。</w:t>
      </w:r>
      <w:r>
        <w:rPr>
          <w:rFonts w:hint="eastAsia" w:ascii="仿宋_GB2312" w:hAnsi="仿宋_GB2312" w:eastAsia="仿宋_GB2312" w:cs="仿宋_GB2312"/>
          <w:color w:val="auto"/>
          <w:sz w:val="32"/>
          <w:szCs w:val="32"/>
          <w:highlight w:val="none"/>
          <w:u w:val="none"/>
          <w:shd w:val="clear" w:color="auto" w:fill="auto"/>
          <w:lang w:bidi="ar"/>
        </w:rPr>
        <w:t>推动“赣服通”5.0迭代建设</w:t>
      </w:r>
      <w:r>
        <w:rPr>
          <w:rFonts w:hint="eastAsia" w:ascii="仿宋_GB2312" w:hAnsi="仿宋_GB2312" w:eastAsia="仿宋_GB2312" w:cs="仿宋_GB2312"/>
          <w:color w:val="auto"/>
          <w:sz w:val="32"/>
          <w:szCs w:val="32"/>
          <w:highlight w:val="none"/>
          <w:u w:val="none"/>
          <w:shd w:val="clear" w:color="auto" w:fill="auto"/>
          <w:lang w:eastAsia="zh-CN" w:bidi="ar"/>
        </w:rPr>
        <w:t>，</w:t>
      </w:r>
      <w:r>
        <w:rPr>
          <w:rFonts w:hint="eastAsia" w:ascii="仿宋_GB2312" w:hAnsi="仿宋_GB2312" w:eastAsia="仿宋_GB2312" w:cs="仿宋_GB2312"/>
          <w:color w:val="auto"/>
          <w:sz w:val="32"/>
          <w:szCs w:val="32"/>
          <w:highlight w:val="none"/>
          <w:u w:val="none"/>
          <w:shd w:val="clear" w:color="auto" w:fill="auto"/>
          <w:lang w:bidi="ar"/>
        </w:rPr>
        <w:t>打造“青松办”品牌3.0版本</w:t>
      </w:r>
      <w:r>
        <w:rPr>
          <w:rFonts w:hint="eastAsia" w:ascii="仿宋_GB2312" w:hAnsi="仿宋_GB2312" w:cs="仿宋_GB2312"/>
          <w:color w:val="auto"/>
          <w:sz w:val="32"/>
          <w:szCs w:val="32"/>
          <w:highlight w:val="none"/>
          <w:u w:val="none"/>
          <w:shd w:val="clear" w:color="auto" w:fill="auto"/>
          <w:lang w:eastAsia="zh-CN" w:bidi="ar"/>
        </w:rPr>
        <w:t>。</w:t>
      </w:r>
      <w:r>
        <w:rPr>
          <w:rFonts w:hint="eastAsia" w:ascii="仿宋_GB2312" w:hAnsi="仿宋_GB2312" w:eastAsia="仿宋_GB2312" w:cs="仿宋_GB2312"/>
          <w:color w:val="auto"/>
          <w:sz w:val="32"/>
          <w:szCs w:val="32"/>
          <w:highlight w:val="none"/>
          <w:u w:val="none"/>
          <w:lang w:eastAsia="zh-CN" w:bidi="ar"/>
        </w:rPr>
        <w:t>构建</w:t>
      </w:r>
      <w:r>
        <w:rPr>
          <w:rFonts w:hint="eastAsia" w:ascii="仿宋_GB2312" w:hAnsi="仿宋_GB2312" w:eastAsia="仿宋_GB2312" w:cs="仿宋_GB2312"/>
          <w:color w:val="auto"/>
          <w:sz w:val="32"/>
          <w:szCs w:val="32"/>
          <w:highlight w:val="none"/>
          <w:u w:val="none"/>
          <w:lang w:bidi="ar"/>
        </w:rPr>
        <w:t>“企业</w:t>
      </w:r>
      <w:r>
        <w:rPr>
          <w:rFonts w:hint="eastAsia" w:ascii="仿宋_GB2312" w:hAnsi="仿宋_GB2312" w:eastAsia="仿宋_GB2312" w:cs="仿宋_GB2312"/>
          <w:color w:val="auto"/>
          <w:sz w:val="32"/>
          <w:szCs w:val="32"/>
          <w:highlight w:val="none"/>
          <w:u w:val="none"/>
          <w:shd w:val="clear" w:color="auto" w:fill="auto"/>
          <w:lang w:bidi="ar"/>
        </w:rPr>
        <w:t>之家”综合服务平台，打通政</w:t>
      </w:r>
      <w:r>
        <w:rPr>
          <w:rFonts w:hint="eastAsia" w:ascii="仿宋_GB2312" w:hAnsi="仿宋_GB2312" w:eastAsia="仿宋_GB2312" w:cs="仿宋_GB2312"/>
          <w:color w:val="auto"/>
          <w:sz w:val="32"/>
          <w:szCs w:val="32"/>
          <w:u w:val="none"/>
          <w:shd w:val="clear" w:color="auto" w:fill="auto"/>
          <w:lang w:bidi="ar"/>
        </w:rPr>
        <w:t>务服务“最后一公里”</w:t>
      </w:r>
      <w:r>
        <w:rPr>
          <w:rFonts w:hint="eastAsia" w:ascii="仿宋_GB2312" w:hAnsi="仿宋_GB2312" w:cs="仿宋_GB2312"/>
          <w:color w:val="auto"/>
          <w:sz w:val="32"/>
          <w:szCs w:val="32"/>
          <w:u w:val="none"/>
          <w:shd w:val="clear" w:color="auto" w:fill="auto"/>
          <w:lang w:eastAsia="zh-CN" w:bidi="ar"/>
        </w:rPr>
        <w:t>。</w:t>
      </w:r>
      <w:r>
        <w:rPr>
          <w:rFonts w:hint="eastAsia" w:ascii="仿宋_GB2312" w:hAnsi="仿宋_GB2312" w:eastAsia="仿宋_GB2312" w:cs="仿宋_GB2312"/>
          <w:kern w:val="2"/>
          <w:sz w:val="32"/>
          <w:szCs w:val="32"/>
          <w:u w:val="none"/>
          <w:lang w:val="en-US" w:eastAsia="zh-CN" w:bidi="ar-SA"/>
        </w:rPr>
        <w:t>优化减税降费政策，推动更多政策实现“免申即享”“应享尽享”</w:t>
      </w:r>
      <w:r>
        <w:rPr>
          <w:rFonts w:hint="eastAsia" w:ascii="仿宋_GB2312" w:hAnsi="仿宋_GB2312" w:cs="仿宋_GB2312"/>
          <w:kern w:val="2"/>
          <w:sz w:val="32"/>
          <w:szCs w:val="32"/>
          <w:u w:val="none"/>
          <w:lang w:val="en-US" w:eastAsia="zh-CN" w:bidi="ar-SA"/>
        </w:rPr>
        <w:t>。</w:t>
      </w:r>
      <w:r>
        <w:rPr>
          <w:rFonts w:hint="eastAsia" w:ascii="仿宋_GB2312" w:hAnsi="仿宋_GB2312" w:eastAsia="仿宋_GB2312" w:cs="仿宋_GB2312"/>
          <w:kern w:val="2"/>
          <w:sz w:val="32"/>
          <w:szCs w:val="32"/>
          <w:u w:val="none"/>
          <w:lang w:val="en-US" w:eastAsia="zh-CN" w:bidi="ar-SA"/>
        </w:rPr>
        <w:t>主动融入全国统一大市场建设，促进要素资源畅通流动</w:t>
      </w:r>
      <w:r>
        <w:rPr>
          <w:rFonts w:hint="eastAsia" w:ascii="仿宋_GB2312" w:hAnsi="仿宋_GB2312" w:cs="仿宋_GB2312"/>
          <w:kern w:val="2"/>
          <w:sz w:val="32"/>
          <w:szCs w:val="32"/>
          <w:u w:val="none"/>
          <w:lang w:val="en-US" w:eastAsia="zh-CN" w:bidi="ar-SA"/>
        </w:rPr>
        <w:t>。</w:t>
      </w:r>
      <w:r>
        <w:rPr>
          <w:rFonts w:hint="eastAsia" w:ascii="仿宋_GB2312" w:hAnsi="仿宋_GB2312" w:eastAsia="仿宋_GB2312" w:cs="仿宋_GB2312"/>
          <w:kern w:val="2"/>
          <w:sz w:val="32"/>
          <w:szCs w:val="32"/>
          <w:u w:val="none"/>
          <w:lang w:val="en-US" w:eastAsia="zh-CN" w:bidi="ar-SA"/>
        </w:rPr>
        <w:t>夯实信用分级分类监管，迭代升级“首违不罚”“轻微免罚”清单，全面提升监管质效</w:t>
      </w:r>
      <w:r>
        <w:rPr>
          <w:rFonts w:hint="eastAsia" w:ascii="仿宋_GB2312" w:hAnsi="仿宋_GB2312" w:cs="仿宋_GB2312"/>
          <w:kern w:val="2"/>
          <w:sz w:val="32"/>
          <w:szCs w:val="32"/>
          <w:u w:val="none"/>
          <w:lang w:val="en-US" w:eastAsia="zh-CN" w:bidi="ar-SA"/>
        </w:rPr>
        <w:t>。</w:t>
      </w:r>
      <w:r>
        <w:rPr>
          <w:rFonts w:hint="eastAsia" w:ascii="仿宋_GB2312" w:hAnsi="仿宋_GB2312" w:eastAsia="仿宋_GB2312" w:cs="仿宋_GB2312"/>
          <w:kern w:val="2"/>
          <w:sz w:val="32"/>
          <w:szCs w:val="32"/>
          <w:u w:val="none"/>
          <w:lang w:val="en-US" w:eastAsia="zh-CN" w:bidi="ar-SA"/>
        </w:rPr>
        <w:t>持续深化“新官不理旧账”等突出问题专项治理，维护经营主体合法权益。</w:t>
      </w:r>
    </w:p>
    <w:p w14:paraId="207B2FE4">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仿宋_GB2312" w:hAnsi="仿宋_GB2312" w:eastAsia="仿宋_GB2312" w:cs="仿宋_GB2312"/>
          <w:color w:val="auto"/>
          <w:kern w:val="0"/>
          <w:sz w:val="32"/>
          <w:szCs w:val="32"/>
          <w:u w:val="none"/>
          <w:lang w:bidi="ar"/>
        </w:rPr>
      </w:pPr>
      <w:r>
        <w:rPr>
          <w:rFonts w:hint="eastAsia" w:ascii="仿宋_GB2312" w:hAnsi="仿宋_GB2312" w:eastAsia="仿宋_GB2312" w:cs="仿宋_GB2312"/>
          <w:b/>
          <w:bCs/>
          <w:color w:val="auto"/>
          <w:kern w:val="2"/>
          <w:sz w:val="32"/>
          <w:szCs w:val="32"/>
          <w:u w:val="none"/>
          <w:lang w:val="en-US" w:eastAsia="zh-CN"/>
        </w:rPr>
        <w:t>二是精准</w:t>
      </w:r>
      <w:r>
        <w:rPr>
          <w:rFonts w:hint="eastAsia" w:ascii="仿宋_GB2312" w:hAnsi="仿宋_GB2312" w:cs="仿宋_GB2312"/>
          <w:b/>
          <w:bCs/>
          <w:color w:val="auto"/>
          <w:kern w:val="2"/>
          <w:sz w:val="32"/>
          <w:szCs w:val="32"/>
          <w:u w:val="none"/>
          <w:lang w:val="en-US" w:eastAsia="zh-CN"/>
        </w:rPr>
        <w:t>扶持就业创业</w:t>
      </w:r>
      <w:r>
        <w:rPr>
          <w:rFonts w:hint="eastAsia" w:ascii="仿宋_GB2312" w:hAnsi="仿宋_GB2312" w:eastAsia="仿宋_GB2312" w:cs="仿宋_GB2312"/>
          <w:b/>
          <w:bCs/>
          <w:i w:val="0"/>
          <w:iCs w:val="0"/>
          <w:color w:val="auto"/>
          <w:kern w:val="2"/>
          <w:sz w:val="32"/>
          <w:szCs w:val="32"/>
          <w:u w:val="none"/>
          <w:lang w:val="en-US" w:eastAsia="zh-CN" w:bidi="ar"/>
        </w:rPr>
        <w:t>。</w:t>
      </w:r>
      <w:r>
        <w:rPr>
          <w:rFonts w:hint="eastAsia" w:ascii="仿宋_GB2312" w:hAnsi="仿宋_GB2312" w:eastAsia="仿宋_GB2312" w:cs="仿宋_GB2312"/>
          <w:color w:val="auto"/>
          <w:kern w:val="2"/>
          <w:sz w:val="32"/>
          <w:szCs w:val="32"/>
          <w:u w:val="none"/>
          <w:lang w:val="en-US" w:eastAsia="zh-CN"/>
        </w:rPr>
        <w:t>依托“5+2就业之家”，</w:t>
      </w:r>
      <w:r>
        <w:rPr>
          <w:rFonts w:hint="eastAsia" w:ascii="仿宋_GB2312" w:hAnsi="仿宋_GB2312" w:eastAsia="仿宋_GB2312" w:cs="仿宋_GB2312"/>
          <w:color w:val="auto"/>
          <w:kern w:val="0"/>
          <w:sz w:val="32"/>
          <w:szCs w:val="32"/>
          <w:u w:val="none"/>
          <w:lang w:bidi="ar"/>
        </w:rPr>
        <w:t>抓好高校毕业生、退役军人、城镇困难人员等重点群体就业和困难群体的就业兜底帮扶</w:t>
      </w:r>
      <w:r>
        <w:rPr>
          <w:rFonts w:hint="eastAsia" w:ascii="仿宋_GB2312" w:hAnsi="仿宋_GB2312" w:cs="仿宋_GB2312"/>
          <w:color w:val="auto"/>
          <w:kern w:val="0"/>
          <w:sz w:val="32"/>
          <w:szCs w:val="32"/>
          <w:u w:val="none"/>
          <w:lang w:eastAsia="zh-CN" w:bidi="ar"/>
        </w:rPr>
        <w:t>，</w:t>
      </w:r>
      <w:r>
        <w:rPr>
          <w:rFonts w:hint="eastAsia" w:ascii="仿宋_GB2312" w:hAnsi="仿宋_GB2312" w:cs="仿宋_GB2312"/>
          <w:color w:val="auto"/>
          <w:kern w:val="0"/>
          <w:sz w:val="32"/>
          <w:szCs w:val="32"/>
          <w:u w:val="none"/>
          <w:lang w:val="en-US" w:eastAsia="zh-CN" w:bidi="ar"/>
        </w:rPr>
        <w:t>力争城镇新增就业5200人</w:t>
      </w:r>
      <w:r>
        <w:rPr>
          <w:rFonts w:hint="eastAsia" w:ascii="仿宋_GB2312" w:hAnsi="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坚持以项目带动经济，以项目带动就业，紧密对接全国家政服务业头部企业联合打造“洪城管家”现代家政服务业项目</w:t>
      </w:r>
      <w:r>
        <w:rPr>
          <w:rFonts w:hint="eastAsia" w:ascii="仿宋_GB2312" w:hAnsi="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持续开展“百场校招”</w:t>
      </w:r>
      <w:r>
        <w:rPr>
          <w:rFonts w:hint="eastAsia" w:ascii="仿宋_GB2312" w:hAnsi="仿宋_GB2312" w:eastAsia="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书记部长进校园</w:t>
      </w:r>
      <w:r>
        <w:rPr>
          <w:rFonts w:hint="eastAsia" w:ascii="仿宋_GB2312" w:hAnsi="仿宋_GB2312" w:eastAsia="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“春风行动”“洪漂人才荟”等各类招聘引才活动</w:t>
      </w:r>
      <w:r>
        <w:rPr>
          <w:rFonts w:hint="eastAsia" w:ascii="仿宋_GB2312" w:hAnsi="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结合我区数字经济楼宇现状，打造1-2家各具特色的创业孵化基地</w:t>
      </w:r>
      <w:r>
        <w:rPr>
          <w:rFonts w:hint="eastAsia" w:ascii="仿宋_GB2312" w:hAnsi="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val="en-US" w:eastAsia="zh-CN" w:bidi="ar"/>
        </w:rPr>
        <w:t>加强我区公共就业服务平台建设，</w:t>
      </w:r>
      <w:r>
        <w:rPr>
          <w:rFonts w:hint="eastAsia" w:ascii="仿宋_GB2312" w:hAnsi="仿宋_GB2312" w:eastAsia="仿宋_GB2312" w:cs="仿宋_GB2312"/>
          <w:color w:val="auto"/>
          <w:kern w:val="0"/>
          <w:sz w:val="32"/>
          <w:szCs w:val="32"/>
          <w:u w:val="none"/>
          <w:lang w:bidi="ar"/>
        </w:rPr>
        <w:t>对常住人口开展劳动力摸排工作</w:t>
      </w:r>
      <w:r>
        <w:rPr>
          <w:rFonts w:hint="eastAsia" w:ascii="仿宋_GB2312" w:hAnsi="仿宋_GB2312" w:eastAsia="仿宋_GB2312" w:cs="仿宋_GB2312"/>
          <w:color w:val="auto"/>
          <w:kern w:val="0"/>
          <w:sz w:val="32"/>
          <w:szCs w:val="32"/>
          <w:u w:val="none"/>
          <w:lang w:eastAsia="zh-CN" w:bidi="ar"/>
        </w:rPr>
        <w:t>，</w:t>
      </w:r>
      <w:r>
        <w:rPr>
          <w:rFonts w:hint="eastAsia" w:ascii="仿宋_GB2312" w:hAnsi="仿宋_GB2312" w:eastAsia="仿宋_GB2312" w:cs="仿宋_GB2312"/>
          <w:color w:val="auto"/>
          <w:kern w:val="0"/>
          <w:sz w:val="32"/>
          <w:szCs w:val="32"/>
          <w:u w:val="none"/>
          <w:lang w:bidi="ar"/>
        </w:rPr>
        <w:t>动员群众参加招聘活动和就业技能培训。</w:t>
      </w:r>
    </w:p>
    <w:p w14:paraId="42E7EDF1">
      <w:pPr>
        <w:pStyle w:val="10"/>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b/>
          <w:bCs/>
          <w:color w:val="auto"/>
          <w:kern w:val="2"/>
          <w:sz w:val="32"/>
          <w:szCs w:val="32"/>
          <w:u w:val="none"/>
          <w:lang w:val="en-US" w:eastAsia="zh-CN"/>
        </w:rPr>
        <w:t>三是</w:t>
      </w:r>
      <w:r>
        <w:rPr>
          <w:rFonts w:hint="eastAsia" w:ascii="仿宋_GB2312" w:hAnsi="仿宋_GB2312" w:cs="仿宋_GB2312"/>
          <w:b/>
          <w:bCs/>
          <w:color w:val="auto"/>
          <w:kern w:val="2"/>
          <w:sz w:val="32"/>
          <w:szCs w:val="32"/>
          <w:u w:val="none"/>
          <w:lang w:val="en-US" w:eastAsia="zh-CN"/>
        </w:rPr>
        <w:t>不断激发</w:t>
      </w:r>
      <w:r>
        <w:rPr>
          <w:rFonts w:hint="eastAsia" w:ascii="仿宋_GB2312" w:hAnsi="仿宋_GB2312" w:eastAsia="仿宋_GB2312" w:cs="仿宋_GB2312"/>
          <w:b/>
          <w:bCs/>
          <w:color w:val="auto"/>
          <w:kern w:val="2"/>
          <w:sz w:val="32"/>
          <w:szCs w:val="32"/>
          <w:u w:val="none"/>
          <w:lang w:val="en-US" w:eastAsia="zh-CN"/>
        </w:rPr>
        <w:t>市场活力。</w:t>
      </w:r>
      <w:r>
        <w:rPr>
          <w:rFonts w:hint="eastAsia" w:ascii="仿宋_GB2312" w:hAnsi="仿宋_GB2312" w:eastAsia="仿宋_GB2312" w:cs="仿宋_GB2312"/>
          <w:color w:val="auto"/>
          <w:kern w:val="0"/>
          <w:sz w:val="32"/>
          <w:szCs w:val="32"/>
          <w:u w:val="none"/>
          <w:lang w:val="en-US" w:eastAsia="zh-CN" w:bidi="ar"/>
        </w:rPr>
        <w:t>推动餐饮知名品牌在我区“首店、首进”落地落户，提升我区消费档次</w:t>
      </w:r>
      <w:r>
        <w:rPr>
          <w:rFonts w:hint="eastAsia" w:ascii="仿宋_GB2312" w:hAnsi="仿宋_GB2312" w:cs="仿宋_GB2312"/>
          <w:color w:val="auto"/>
          <w:kern w:val="0"/>
          <w:sz w:val="32"/>
          <w:szCs w:val="32"/>
          <w:u w:val="none"/>
          <w:lang w:val="en-US" w:eastAsia="zh-CN" w:bidi="ar"/>
        </w:rPr>
        <w:t>。</w:t>
      </w:r>
      <w:r>
        <w:rPr>
          <w:rFonts w:hint="eastAsia" w:ascii="仿宋_GB2312" w:hAnsi="仿宋_GB2312" w:eastAsia="仿宋_GB2312" w:cs="仿宋_GB2312"/>
          <w:color w:val="auto"/>
          <w:kern w:val="0"/>
          <w:sz w:val="32"/>
          <w:szCs w:val="32"/>
          <w:u w:val="none"/>
          <w:lang w:val="en-US" w:eastAsia="zh-CN" w:bidi="ar"/>
        </w:rPr>
        <w:t>重点做好洪都夜巷、王府井夜市两条街区品质提升行动，支持1962文创园进一步丰富消费内容，唱响1962品牌，引导航空路打造夜经济街区，进一步做热广州路</w:t>
      </w:r>
      <w:r>
        <w:rPr>
          <w:rFonts w:hint="eastAsia" w:ascii="仿宋_GB2312" w:hAnsi="仿宋_GB2312" w:cs="仿宋_GB2312"/>
          <w:color w:val="auto"/>
          <w:kern w:val="0"/>
          <w:sz w:val="32"/>
          <w:szCs w:val="32"/>
          <w:u w:val="none"/>
          <w:lang w:val="en-US" w:eastAsia="zh-CN" w:bidi="ar"/>
        </w:rPr>
        <w:t>。</w:t>
      </w:r>
      <w:r>
        <w:rPr>
          <w:rFonts w:hint="eastAsia" w:ascii="仿宋_GB2312" w:hAnsi="仿宋_GB2312" w:eastAsia="仿宋_GB2312" w:cs="仿宋_GB2312"/>
          <w:color w:val="auto"/>
          <w:kern w:val="0"/>
          <w:sz w:val="32"/>
          <w:szCs w:val="32"/>
          <w:u w:val="none"/>
          <w:lang w:val="en-US" w:eastAsia="zh-CN" w:bidi="ar"/>
        </w:rPr>
        <w:t>结合节假日，举办大型让利促消费活动，刺激大宗消费，适时发放政府消费券，鼓励和支持各类商贸流通企业开展以旧换新等系列促销活动</w:t>
      </w:r>
      <w:r>
        <w:rPr>
          <w:rFonts w:hint="eastAsia" w:ascii="仿宋_GB2312" w:hAnsi="仿宋_GB2312" w:cs="仿宋_GB2312"/>
          <w:color w:val="auto"/>
          <w:kern w:val="0"/>
          <w:sz w:val="32"/>
          <w:szCs w:val="32"/>
          <w:u w:val="none"/>
          <w:lang w:val="en-US" w:eastAsia="zh-CN" w:bidi="ar"/>
        </w:rPr>
        <w:t>。</w:t>
      </w:r>
      <w:r>
        <w:rPr>
          <w:rFonts w:hint="eastAsia" w:ascii="仿宋_GB2312" w:hAnsi="仿宋_GB2312" w:eastAsia="仿宋_GB2312" w:cs="仿宋_GB2312"/>
          <w:color w:val="auto"/>
          <w:kern w:val="0"/>
          <w:sz w:val="32"/>
          <w:szCs w:val="32"/>
          <w:u w:val="none"/>
          <w:lang w:val="en-US" w:eastAsia="zh-CN" w:bidi="ar"/>
        </w:rPr>
        <w:t>进一步深挖文旅资源，策划推出文创集市、非遗展演、书画展览、音乐秀等文旅体验活动，以特色“文旅大餐”拉动消费热潮。</w:t>
      </w:r>
    </w:p>
    <w:p w14:paraId="709FA2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（三）增颜值、提品质，城市面貌焕新颜</w:t>
      </w:r>
    </w:p>
    <w:p w14:paraId="20E4CC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一是打造舒适人居环境。</w:t>
      </w:r>
      <w:r>
        <w:rPr>
          <w:rFonts w:hint="eastAsia" w:ascii="仿宋_GB2312" w:hAnsi="仿宋_GB2312" w:eastAsia="仿宋_GB2312" w:cs="仿宋_GB2312"/>
          <w:sz w:val="32"/>
          <w:szCs w:val="32"/>
          <w:lang w:val="en-US" w:eastAsia="zh-CN"/>
        </w:rPr>
        <w:t>围绕建设“可阅读、能感知、有韧性、更宜居”的现代都市目标，有序推进八大行动、文明城市创建等工作</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继续实施2025年老旧小区改造项目，改造老旧小区32个，预计惠及居民6</w:t>
      </w:r>
      <w:r>
        <w:rPr>
          <w:rFonts w:hint="eastAsia" w:ascii="仿宋_GB2312" w:hAnsi="仿宋_GB2312" w:cs="仿宋_GB2312"/>
          <w:sz w:val="32"/>
          <w:szCs w:val="32"/>
          <w:lang w:val="en-US" w:eastAsia="zh-CN"/>
        </w:rPr>
        <w:t>336</w:t>
      </w:r>
      <w:r>
        <w:rPr>
          <w:rFonts w:hint="eastAsia" w:ascii="仿宋_GB2312" w:hAnsi="仿宋_GB2312" w:eastAsia="仿宋_GB2312" w:cs="仿宋_GB2312"/>
          <w:sz w:val="32"/>
          <w:szCs w:val="32"/>
          <w:lang w:val="en-US" w:eastAsia="zh-CN"/>
        </w:rPr>
        <w:t>户，圆百姓“宜居梦”</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进一步提升梅湖流域水质，打造“水清、岸绿、景美”的生态梅湖</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常态化开展环境综合四大行动，打造一个干净、整洁、有序、安全的城市环境</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着力推进城南大道提升改造工作，实现道路提质升级。</w:t>
      </w:r>
    </w:p>
    <w:p w14:paraId="06A9BB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二是全面提升城市品质。</w:t>
      </w:r>
      <w:r>
        <w:rPr>
          <w:rFonts w:hint="eastAsia" w:ascii="仿宋_GB2312" w:hAnsi="仿宋_GB2312" w:eastAsia="仿宋_GB2312" w:cs="仿宋_GB2312"/>
          <w:sz w:val="32"/>
          <w:szCs w:val="32"/>
          <w:lang w:val="en-US" w:eastAsia="zh-CN"/>
        </w:rPr>
        <w:t>大力实施“互联网+城市管理”行动，不断拓展综合执法、智慧广告管理、中心城区油烟在线监测、地下管线、智慧停车、共享单车等平台</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构建安全、共享、敏捷的城市管理共享数据中心，实现市区之间、部门之间信息互联共享，打造一体化城市数字治理服务平台，建立起“高位协调、主动发现、快速处置、综合考核、平急转换”的城市精细管理长效机制，实现城市管理精细化、科学化、智能化、专业化。</w:t>
      </w:r>
    </w:p>
    <w:p w14:paraId="53F1EB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三是畅通道路改善出行。</w:t>
      </w:r>
      <w:r>
        <w:rPr>
          <w:rFonts w:hint="eastAsia" w:ascii="仿宋_GB2312" w:hAnsi="仿宋_GB2312" w:eastAsia="仿宋_GB2312" w:cs="仿宋_GB2312"/>
          <w:sz w:val="32"/>
          <w:szCs w:val="32"/>
          <w:lang w:val="en-US" w:eastAsia="zh-CN"/>
        </w:rPr>
        <w:t>围绕构建“四横六纵”路网体系，积极对接上海路南延、广州路下穿京九铁路隧道工程建设，争取早日通车</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围绕“打通断头路 畅通微循环”，加快推进路网建设，力争打通</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条</w:t>
      </w:r>
      <w:r>
        <w:rPr>
          <w:rFonts w:hint="eastAsia" w:ascii="仿宋_GB2312" w:hAnsi="仿宋_GB2312" w:cs="仿宋_GB2312"/>
          <w:sz w:val="32"/>
          <w:szCs w:val="32"/>
          <w:lang w:val="en-US" w:eastAsia="zh-CN"/>
        </w:rPr>
        <w:t>以上</w:t>
      </w:r>
      <w:r>
        <w:rPr>
          <w:rFonts w:hint="eastAsia" w:ascii="仿宋_GB2312" w:hAnsi="仿宋_GB2312" w:eastAsia="仿宋_GB2312" w:cs="仿宋_GB2312"/>
          <w:sz w:val="32"/>
          <w:szCs w:val="32"/>
          <w:lang w:val="en-US" w:eastAsia="zh-CN"/>
        </w:rPr>
        <w:t>断头路</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结合江铃老厂区整体搬迁、洪都老厂区生产区搬迁，谋划好江铃老厂区周边约10公里路网、洪都老厂区生产区约7公里路网建设</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持续推进安置房周边道路、排水工程建设。投入8亿元，启动合流制区域约22.7平方千米的地下管网改造、整治工作。</w:t>
      </w:r>
    </w:p>
    <w:p w14:paraId="3F3692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四是加快生态文明建设</w:t>
      </w:r>
      <w:r>
        <w:rPr>
          <w:rFonts w:hint="eastAsia" w:ascii="仿宋_GB2312" w:hAnsi="仿宋_GB2312" w:cs="仿宋_GB2312"/>
          <w:b/>
          <w:bCs/>
          <w:sz w:val="32"/>
          <w:szCs w:val="32"/>
          <w:lang w:val="en-US" w:eastAsia="zh-CN"/>
        </w:rPr>
        <w:t>。</w:t>
      </w:r>
      <w:r>
        <w:rPr>
          <w:rFonts w:hint="eastAsia" w:ascii="仿宋_GB2312" w:hAnsi="仿宋_GB2312" w:eastAsia="仿宋_GB2312" w:cs="仿宋_GB2312"/>
          <w:sz w:val="32"/>
          <w:szCs w:val="32"/>
          <w:lang w:val="en-US" w:eastAsia="zh-CN"/>
        </w:rPr>
        <w:t>积极稳妥推进碳达峰碳中和。推进重点领域绿色低碳转型，推动循环经济发展</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扎实做好固定资产投资项目节能审查和能效诊断，不断提高能源利用效率和产出效率，坚决遏制“两高一低”项目盲目发展，推动能耗双控逐步转向碳排放双控</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持续推进低碳技术和重点领域关键核心技术攻关，加快成果转化与推广。</w:t>
      </w:r>
    </w:p>
    <w:p w14:paraId="424185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t>（四）</w:t>
      </w:r>
      <w:r>
        <w:rPr>
          <w:rFonts w:hint="eastAsia" w:ascii="楷体_GB2312" w:hAnsi="楷体_GB2312" w:eastAsia="楷体_GB2312" w:cs="楷体_GB2312"/>
          <w:b/>
          <w:bCs/>
          <w:i w:val="0"/>
          <w:iCs w:val="0"/>
          <w:caps w:val="0"/>
          <w:color w:val="auto"/>
          <w:spacing w:val="0"/>
          <w:sz w:val="32"/>
          <w:szCs w:val="32"/>
          <w:u w:val="none"/>
          <w:shd w:val="clear" w:color="auto" w:fill="FFFFFF"/>
          <w:lang w:val="en-US" w:eastAsia="zh-CN"/>
        </w:rPr>
        <w:t>办实事、惠民生，群众生活增福祉</w:t>
      </w:r>
    </w:p>
    <w:p w14:paraId="519BB3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color w:val="auto"/>
          <w:kern w:val="2"/>
          <w:sz w:val="32"/>
          <w:szCs w:val="32"/>
          <w:u w:val="none"/>
          <w:lang w:val="en-US" w:eastAsia="zh-CN"/>
        </w:rPr>
        <w:t>一是整合优质教育资源。</w:t>
      </w:r>
      <w:r>
        <w:rPr>
          <w:rFonts w:hint="eastAsia" w:ascii="仿宋_GB2312" w:hAnsi="仿宋_GB2312" w:eastAsia="仿宋_GB2312" w:cs="仿宋_GB2312"/>
          <w:color w:val="auto"/>
          <w:sz w:val="32"/>
          <w:szCs w:val="32"/>
          <w:u w:val="none"/>
          <w:lang w:eastAsia="zh-CN"/>
        </w:rPr>
        <w:t>力争新地学校、洪都学校、特殊教育学校等</w:t>
      </w:r>
      <w:r>
        <w:rPr>
          <w:rFonts w:hint="eastAsia" w:ascii="仿宋_GB2312" w:hAnsi="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lang w:eastAsia="zh-CN"/>
        </w:rPr>
        <w:t>所学校在2025年全部建成并投入使用，预计新增学位</w:t>
      </w:r>
      <w:r>
        <w:rPr>
          <w:rFonts w:hint="eastAsia" w:ascii="仿宋_GB2312" w:hAnsi="仿宋_GB2312" w:cs="仿宋_GB2312"/>
          <w:color w:val="auto"/>
          <w:sz w:val="32"/>
          <w:szCs w:val="32"/>
          <w:u w:val="none"/>
          <w:lang w:val="en-US" w:eastAsia="zh-CN"/>
        </w:rPr>
        <w:t>5262</w:t>
      </w:r>
      <w:r>
        <w:rPr>
          <w:rFonts w:hint="eastAsia" w:ascii="仿宋_GB2312" w:hAnsi="仿宋_GB2312" w:eastAsia="仿宋_GB2312" w:cs="仿宋_GB2312"/>
          <w:color w:val="auto"/>
          <w:sz w:val="32"/>
          <w:szCs w:val="32"/>
          <w:u w:val="none"/>
          <w:lang w:eastAsia="zh-CN"/>
        </w:rPr>
        <w:t>个。</w:t>
      </w:r>
      <w:r>
        <w:rPr>
          <w:rFonts w:hint="eastAsia" w:ascii="仿宋_GB2312" w:hAnsi="仿宋_GB2312" w:eastAsia="仿宋_GB2312" w:cs="仿宋_GB2312"/>
          <w:color w:val="auto"/>
          <w:sz w:val="32"/>
          <w:szCs w:val="32"/>
          <w:u w:val="none"/>
          <w:lang w:val="en-US" w:eastAsia="zh-CN"/>
        </w:rPr>
        <w:t>力争</w:t>
      </w:r>
      <w:r>
        <w:rPr>
          <w:rFonts w:hint="eastAsia" w:ascii="仿宋_GB2312" w:hAnsi="仿宋_GB2312" w:eastAsia="仿宋_GB2312" w:cs="仿宋_GB2312"/>
          <w:color w:val="auto"/>
          <w:sz w:val="32"/>
          <w:szCs w:val="32"/>
          <w:u w:val="none"/>
          <w:lang w:eastAsia="zh-CN"/>
        </w:rPr>
        <w:t>10所幼儿园装修改造完成并投入使用，实现2所幼儿园通过市级示范幼儿园评估，统筹做好省级标准化幼儿园认定工作</w:t>
      </w:r>
      <w:r>
        <w:rPr>
          <w:rFonts w:hint="eastAsia" w:ascii="仿宋_GB2312" w:hAnsi="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提</w:t>
      </w:r>
      <w:r>
        <w:rPr>
          <w:rFonts w:hint="eastAsia" w:ascii="仿宋_GB2312" w:hAnsi="仿宋_GB2312" w:cs="仿宋_GB2312"/>
          <w:color w:val="auto"/>
          <w:sz w:val="32"/>
          <w:szCs w:val="32"/>
          <w:u w:val="none"/>
          <w:lang w:val="en-US" w:eastAsia="zh-CN"/>
        </w:rPr>
        <w:t>升</w:t>
      </w:r>
      <w:r>
        <w:rPr>
          <w:rFonts w:hint="eastAsia" w:ascii="仿宋_GB2312" w:hAnsi="仿宋_GB2312" w:eastAsia="仿宋_GB2312" w:cs="仿宋_GB2312"/>
          <w:color w:val="auto"/>
          <w:sz w:val="32"/>
          <w:szCs w:val="32"/>
          <w:u w:val="none"/>
          <w:lang w:eastAsia="zh-CN"/>
        </w:rPr>
        <w:t>区域科学教育水平，推动“双减”走深走实。持续完善全区公共体育服务设施</w:t>
      </w:r>
      <w:r>
        <w:rPr>
          <w:rFonts w:hint="eastAsia" w:ascii="仿宋_GB2312" w:hAnsi="仿宋_GB2312" w:cs="仿宋_GB2312"/>
          <w:color w:val="auto"/>
          <w:sz w:val="32"/>
          <w:szCs w:val="32"/>
          <w:u w:val="none"/>
          <w:lang w:val="en-US" w:eastAsia="zh-CN"/>
        </w:rPr>
        <w:t>建设</w:t>
      </w:r>
      <w:r>
        <w:rPr>
          <w:rFonts w:hint="eastAsia" w:ascii="仿宋_GB2312" w:hAnsi="仿宋_GB2312" w:eastAsia="仿宋_GB2312" w:cs="仿宋_GB2312"/>
          <w:color w:val="auto"/>
          <w:sz w:val="32"/>
          <w:szCs w:val="32"/>
          <w:u w:val="none"/>
          <w:lang w:eastAsia="zh-CN"/>
        </w:rPr>
        <w:t>，不断促进体育消费增长。</w:t>
      </w:r>
    </w:p>
    <w:p w14:paraId="6DAC9A89">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u w:val="none"/>
          <w:shd w:val="clear" w:color="050000" w:fill="auto"/>
          <w:lang w:val="en-US" w:eastAsia="zh-CN"/>
        </w:rPr>
      </w:pPr>
      <w:r>
        <w:rPr>
          <w:rFonts w:hint="eastAsia" w:ascii="仿宋_GB2312" w:hAnsi="仿宋_GB2312" w:eastAsia="仿宋_GB2312" w:cs="仿宋_GB2312"/>
          <w:b/>
          <w:bCs/>
          <w:color w:val="auto"/>
          <w:kern w:val="2"/>
          <w:sz w:val="32"/>
          <w:szCs w:val="32"/>
          <w:u w:val="none"/>
          <w:lang w:val="en-US" w:eastAsia="zh-CN"/>
        </w:rPr>
        <w:t>二</w:t>
      </w:r>
      <w:r>
        <w:rPr>
          <w:rFonts w:hint="eastAsia" w:ascii="仿宋_GB2312" w:hAnsi="仿宋_GB2312" w:cs="仿宋_GB2312"/>
          <w:b/>
          <w:bCs/>
          <w:color w:val="auto"/>
          <w:kern w:val="2"/>
          <w:sz w:val="32"/>
          <w:szCs w:val="32"/>
          <w:u w:val="none"/>
          <w:lang w:val="en-US" w:eastAsia="zh-CN"/>
        </w:rPr>
        <w:t>是健全优化健康体系</w:t>
      </w:r>
      <w:r>
        <w:rPr>
          <w:rFonts w:hint="eastAsia" w:ascii="仿宋_GB2312" w:hAnsi="仿宋_GB2312" w:eastAsia="仿宋_GB2312" w:cs="仿宋_GB2312"/>
          <w:b/>
          <w:bCs/>
          <w:color w:val="auto"/>
          <w:kern w:val="2"/>
          <w:sz w:val="32"/>
          <w:szCs w:val="32"/>
          <w:u w:val="none"/>
          <w:lang w:val="en-US" w:eastAsia="zh-CN"/>
        </w:rPr>
        <w:t>。</w:t>
      </w:r>
      <w:r>
        <w:rPr>
          <w:rFonts w:hint="eastAsia" w:ascii="仿宋_GB2312" w:hAnsi="仿宋_GB2312" w:eastAsia="仿宋_GB2312" w:cs="仿宋_GB2312"/>
          <w:color w:val="auto"/>
          <w:sz w:val="32"/>
          <w:szCs w:val="32"/>
          <w:u w:val="none"/>
          <w:shd w:val="clear" w:color="050000" w:fill="auto"/>
          <w:lang w:val="en-US" w:eastAsia="zh-CN"/>
        </w:rPr>
        <w:t>持续推进南大二附院江铃分院项目二期和908医院门诊大楼建设</w:t>
      </w:r>
      <w:r>
        <w:rPr>
          <w:rFonts w:hint="eastAsia" w:ascii="仿宋_GB2312" w:hAnsi="仿宋_GB2312" w:cs="仿宋_GB2312"/>
          <w:color w:val="auto"/>
          <w:sz w:val="32"/>
          <w:szCs w:val="32"/>
          <w:u w:val="none"/>
          <w:shd w:val="clear" w:color="050000" w:fill="auto"/>
          <w:lang w:val="en-US" w:eastAsia="zh-CN"/>
        </w:rPr>
        <w:t>。</w:t>
      </w:r>
      <w:r>
        <w:rPr>
          <w:rFonts w:hint="eastAsia" w:ascii="仿宋_GB2312" w:hAnsi="仿宋_GB2312" w:eastAsia="仿宋_GB2312" w:cs="仿宋_GB2312"/>
          <w:color w:val="auto"/>
          <w:sz w:val="32"/>
          <w:szCs w:val="32"/>
          <w:u w:val="none"/>
          <w:shd w:val="clear" w:color="050000" w:fill="auto"/>
          <w:lang w:val="en-US" w:eastAsia="zh-CN"/>
        </w:rPr>
        <w:t>扎实开展紧密型医疗集团建设，加强与省中西医结合医院、省妇保、省市中医院合作，进一步将洪都社区卫生服务中心打造成社区医院</w:t>
      </w:r>
      <w:r>
        <w:rPr>
          <w:rFonts w:hint="eastAsia" w:ascii="仿宋_GB2312" w:hAnsi="仿宋_GB2312" w:cs="仿宋_GB2312"/>
          <w:color w:val="auto"/>
          <w:sz w:val="32"/>
          <w:szCs w:val="32"/>
          <w:u w:val="none"/>
          <w:shd w:val="clear" w:color="050000" w:fill="auto"/>
          <w:lang w:val="en-US" w:eastAsia="zh-CN"/>
        </w:rPr>
        <w:t>。</w:t>
      </w:r>
      <w:r>
        <w:rPr>
          <w:rFonts w:hint="eastAsia" w:ascii="仿宋_GB2312" w:hAnsi="仿宋_GB2312" w:eastAsia="仿宋_GB2312" w:cs="仿宋_GB2312"/>
          <w:color w:val="auto"/>
          <w:sz w:val="32"/>
          <w:szCs w:val="32"/>
          <w:u w:val="none"/>
          <w:shd w:val="clear" w:color="050000" w:fill="auto"/>
          <w:lang w:val="en-US" w:eastAsia="zh-CN"/>
        </w:rPr>
        <w:t>以创建全国基层中医药工作示范区为抓手，唱响青云谱“15分钟中医药健康圈”品牌效应。</w:t>
      </w:r>
    </w:p>
    <w:p w14:paraId="7BB91D87">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u w:val="none"/>
          <w:shd w:val="clear" w:color="050000" w:fill="auto"/>
          <w:lang w:val="en-US" w:eastAsia="zh-CN"/>
        </w:rPr>
      </w:pPr>
      <w:r>
        <w:rPr>
          <w:rFonts w:hint="eastAsia" w:ascii="仿宋_GB2312" w:hAnsi="仿宋_GB2312" w:eastAsia="仿宋_GB2312" w:cs="仿宋_GB2312"/>
          <w:b/>
          <w:bCs/>
          <w:color w:val="auto"/>
          <w:kern w:val="2"/>
          <w:sz w:val="32"/>
          <w:szCs w:val="32"/>
          <w:u w:val="none"/>
          <w:lang w:val="en-US" w:eastAsia="zh-CN"/>
        </w:rPr>
        <w:t>三是持续擦亮文化名片。</w:t>
      </w:r>
      <w:r>
        <w:rPr>
          <w:rFonts w:hint="eastAsia" w:ascii="仿宋_GB2312" w:hAnsi="仿宋_GB2312" w:eastAsia="仿宋_GB2312" w:cs="仿宋_GB2312"/>
          <w:color w:val="auto"/>
          <w:sz w:val="32"/>
          <w:szCs w:val="32"/>
          <w:u w:val="none"/>
          <w:shd w:val="clear" w:color="050000" w:fill="auto"/>
          <w:lang w:val="en-US" w:eastAsia="zh-CN"/>
        </w:rPr>
        <w:t>加强非遗文化传承保护，积极推进“城南龙灯”申报“国家级”非物质文化遗产代表性项目，力争实现我区国家级非遗项目“零”的突破</w:t>
      </w:r>
      <w:r>
        <w:rPr>
          <w:rFonts w:hint="eastAsia" w:ascii="仿宋_GB2312" w:hAnsi="仿宋_GB2312" w:cs="仿宋_GB2312"/>
          <w:color w:val="auto"/>
          <w:sz w:val="32"/>
          <w:szCs w:val="32"/>
          <w:u w:val="none"/>
          <w:shd w:val="clear" w:color="050000" w:fill="auto"/>
          <w:lang w:val="en-US" w:eastAsia="zh-CN"/>
        </w:rPr>
        <w:t>。</w:t>
      </w:r>
      <w:r>
        <w:rPr>
          <w:rFonts w:hint="eastAsia" w:ascii="仿宋_GB2312" w:hAnsi="仿宋_GB2312" w:eastAsia="仿宋_GB2312" w:cs="仿宋_GB2312"/>
          <w:color w:val="auto"/>
          <w:sz w:val="32"/>
          <w:szCs w:val="32"/>
          <w:u w:val="none"/>
          <w:shd w:val="clear" w:color="050000" w:fill="auto"/>
          <w:lang w:val="en-US" w:eastAsia="zh-CN"/>
        </w:rPr>
        <w:t>以洪都老厂区、八大山人梅湖景区、花博园等为主战场，加大招商引资力度，积极引进和培育一批有特色、有流量、有市场的特色文旅项目，带动文旅产业提质升级</w:t>
      </w:r>
      <w:r>
        <w:rPr>
          <w:rFonts w:hint="eastAsia" w:ascii="仿宋_GB2312" w:hAnsi="仿宋_GB2312" w:cs="仿宋_GB2312"/>
          <w:color w:val="auto"/>
          <w:sz w:val="32"/>
          <w:szCs w:val="32"/>
          <w:u w:val="none"/>
          <w:shd w:val="clear" w:color="050000" w:fill="auto"/>
          <w:lang w:val="en-US" w:eastAsia="zh-CN"/>
        </w:rPr>
        <w:t>。</w:t>
      </w:r>
      <w:r>
        <w:rPr>
          <w:rFonts w:hint="eastAsia" w:ascii="仿宋_GB2312" w:hAnsi="仿宋_GB2312" w:eastAsia="仿宋_GB2312" w:cs="仿宋_GB2312"/>
          <w:color w:val="auto"/>
          <w:sz w:val="32"/>
          <w:szCs w:val="32"/>
          <w:u w:val="none"/>
          <w:shd w:val="clear" w:color="050000" w:fill="auto"/>
          <w:lang w:val="en-US" w:eastAsia="zh-CN"/>
        </w:rPr>
        <w:t>加快中高端住宿业发展，持续跟进江拖、麻纺厂等厂房改造利用项目，促进休闲游、演艺游、美食游、研学游等新业态快速发育成长</w:t>
      </w:r>
      <w:r>
        <w:rPr>
          <w:rFonts w:hint="eastAsia" w:ascii="仿宋_GB2312" w:hAnsi="仿宋_GB2312" w:cs="仿宋_GB2312"/>
          <w:color w:val="auto"/>
          <w:sz w:val="32"/>
          <w:szCs w:val="32"/>
          <w:u w:val="none"/>
          <w:shd w:val="clear" w:color="050000" w:fill="auto"/>
          <w:lang w:val="en-US" w:eastAsia="zh-CN"/>
        </w:rPr>
        <w:t>。</w:t>
      </w:r>
      <w:r>
        <w:rPr>
          <w:rFonts w:hint="eastAsia" w:ascii="仿宋_GB2312" w:hAnsi="仿宋_GB2312" w:eastAsia="仿宋_GB2312" w:cs="仿宋_GB2312"/>
          <w:color w:val="auto"/>
          <w:sz w:val="32"/>
          <w:szCs w:val="32"/>
          <w:u w:val="none"/>
          <w:shd w:val="clear" w:color="050000" w:fill="auto"/>
          <w:lang w:val="en-US" w:eastAsia="zh-CN"/>
        </w:rPr>
        <w:t>利用“短视频+文旅”赋能青云谱城市名片打造，着力营造“开放包容、热情好客”的城区形象。</w:t>
      </w:r>
    </w:p>
    <w:p w14:paraId="1D5700C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left="0" w:leftChars="0" w:firstLine="643" w:firstLineChars="200"/>
        <w:jc w:val="both"/>
        <w:textAlignment w:val="auto"/>
        <w:outlineLvl w:val="9"/>
        <w:rPr>
          <w:rFonts w:hint="eastAsia" w:ascii="仿宋_GB2312" w:hAnsi="仿宋_GB2312" w:eastAsia="仿宋_GB2312" w:cs="仿宋_GB2312"/>
          <w:sz w:val="32"/>
          <w:szCs w:val="32"/>
          <w:u w:val="none"/>
        </w:rPr>
      </w:pPr>
      <w:r>
        <w:rPr>
          <w:rFonts w:hint="eastAsia" w:ascii="仿宋_GB2312" w:hAnsi="仿宋_GB2312" w:eastAsia="仿宋_GB2312" w:cs="仿宋_GB2312"/>
          <w:b/>
          <w:bCs/>
          <w:color w:val="auto"/>
          <w:kern w:val="2"/>
          <w:sz w:val="32"/>
          <w:szCs w:val="32"/>
          <w:u w:val="none"/>
          <w:lang w:val="en-US" w:eastAsia="zh-CN" w:bidi="ar-SA"/>
        </w:rPr>
        <w:t>四是坚决夯实社会保障。</w:t>
      </w:r>
      <w:r>
        <w:rPr>
          <w:rFonts w:hint="eastAsia" w:ascii="仿宋_GB2312" w:hAnsi="仿宋_GB2312" w:eastAsia="仿宋_GB2312" w:cs="仿宋_GB2312"/>
          <w:sz w:val="32"/>
          <w:szCs w:val="32"/>
          <w:u w:val="none"/>
          <w:shd w:val="clear" w:color="auto" w:fill="FFFFFF"/>
        </w:rPr>
        <w:t>落实好各项社会救助政策，深化“七彩虹”帮扶工作，落实孤儿、事实无人抚养儿童精准保障，打造区级未成年人保护中心</w:t>
      </w:r>
      <w:r>
        <w:rPr>
          <w:rFonts w:hint="eastAsia" w:ascii="仿宋_GB2312" w:hAnsi="仿宋_GB2312" w:cs="仿宋_GB2312"/>
          <w:sz w:val="32"/>
          <w:szCs w:val="32"/>
          <w:u w:val="none"/>
          <w:shd w:val="clear" w:color="auto" w:fill="FFFFFF"/>
          <w:lang w:eastAsia="zh-CN"/>
        </w:rPr>
        <w:t>。</w:t>
      </w:r>
      <w:r>
        <w:rPr>
          <w:rFonts w:hint="eastAsia" w:ascii="仿宋_GB2312" w:hAnsi="仿宋_GB2312" w:eastAsia="仿宋_GB2312" w:cs="仿宋_GB2312"/>
          <w:sz w:val="32"/>
          <w:szCs w:val="32"/>
          <w:u w:val="none"/>
        </w:rPr>
        <w:t>加强异地就医直接结算，推动落实扩大跨省直接结算病种范围，推进医保服务网上办。联合</w:t>
      </w:r>
      <w:r>
        <w:rPr>
          <w:rFonts w:hint="eastAsia" w:ascii="仿宋_GB2312" w:hAnsi="仿宋_GB2312" w:eastAsia="仿宋_GB2312" w:cs="仿宋_GB2312"/>
          <w:sz w:val="32"/>
          <w:szCs w:val="32"/>
          <w:u w:val="none"/>
          <w:lang w:val="en-US" w:eastAsia="zh-CN"/>
        </w:rPr>
        <w:t>多</w:t>
      </w:r>
      <w:r>
        <w:rPr>
          <w:rFonts w:hint="eastAsia" w:ascii="仿宋_GB2312" w:hAnsi="仿宋_GB2312" w:eastAsia="仿宋_GB2312" w:cs="仿宋_GB2312"/>
          <w:sz w:val="32"/>
          <w:szCs w:val="32"/>
          <w:u w:val="none"/>
        </w:rPr>
        <w:t>部门继续打造“多元化解劳动维权一体化平台”，实现区域劳动关系和谐稳定</w:t>
      </w:r>
      <w:r>
        <w:rPr>
          <w:rFonts w:hint="eastAsia" w:ascii="仿宋_GB2312" w:hAnsi="仿宋_GB2312" w:cs="仿宋_GB2312"/>
          <w:sz w:val="32"/>
          <w:szCs w:val="32"/>
          <w:u w:val="none"/>
          <w:lang w:eastAsia="zh-CN"/>
        </w:rPr>
        <w:t>。</w:t>
      </w:r>
      <w:r>
        <w:rPr>
          <w:rFonts w:hint="eastAsia" w:ascii="仿宋_GB2312" w:hAnsi="仿宋_GB2312" w:eastAsia="仿宋_GB2312" w:cs="仿宋_GB2312"/>
          <w:sz w:val="32"/>
          <w:szCs w:val="32"/>
          <w:highlight w:val="none"/>
          <w:u w:val="none"/>
          <w:lang w:val="en-US" w:eastAsia="zh-CN"/>
        </w:rPr>
        <w:t>多</w:t>
      </w:r>
      <w:r>
        <w:rPr>
          <w:rFonts w:hint="eastAsia" w:ascii="仿宋_GB2312" w:hAnsi="仿宋_GB2312" w:eastAsia="仿宋_GB2312" w:cs="仿宋_GB2312"/>
          <w:sz w:val="32"/>
          <w:szCs w:val="32"/>
          <w:highlight w:val="none"/>
          <w:u w:val="none"/>
          <w:lang w:eastAsia="zh-CN"/>
        </w:rPr>
        <w:t>部门联合打造一支退役军人法律志愿服务队，为退役军人提供服务，力争依法办理各类事项。</w:t>
      </w:r>
      <w:r>
        <w:rPr>
          <w:rFonts w:hint="eastAsia" w:ascii="仿宋_GB2312" w:hAnsi="仿宋_GB2312" w:eastAsia="仿宋_GB2312" w:cs="仿宋_GB2312"/>
          <w:sz w:val="32"/>
          <w:szCs w:val="32"/>
          <w:u w:val="none"/>
        </w:rPr>
        <w:t>挖掘适合打造“一老一小”幸福院</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幸福食堂的服务用房，进一步完善全区养老服务设施网络。推进粮食应急保障能力建设，实现粮食安全</w:t>
      </w:r>
      <w:r>
        <w:rPr>
          <w:rFonts w:hint="eastAsia" w:ascii="仿宋_GB2312" w:hAnsi="仿宋_GB2312" w:cs="仿宋_GB2312"/>
          <w:sz w:val="32"/>
          <w:szCs w:val="32"/>
          <w:u w:val="none"/>
          <w:lang w:val="en-US" w:eastAsia="zh-CN"/>
        </w:rPr>
        <w:t>应急保障</w:t>
      </w:r>
      <w:r>
        <w:rPr>
          <w:rFonts w:hint="eastAsia" w:ascii="仿宋_GB2312" w:hAnsi="仿宋_GB2312" w:eastAsia="仿宋_GB2312" w:cs="仿宋_GB2312"/>
          <w:sz w:val="32"/>
          <w:szCs w:val="32"/>
          <w:u w:val="none"/>
        </w:rPr>
        <w:t>网点全覆盖</w:t>
      </w:r>
      <w:r>
        <w:rPr>
          <w:rFonts w:hint="eastAsia" w:ascii="仿宋_GB2312" w:hAnsi="仿宋_GB2312" w:cs="仿宋_GB2312"/>
          <w:sz w:val="32"/>
          <w:szCs w:val="32"/>
          <w:u w:val="none"/>
          <w:lang w:eastAsia="zh-CN"/>
        </w:rPr>
        <w:t>。</w:t>
      </w:r>
      <w:r>
        <w:rPr>
          <w:rFonts w:hint="eastAsia" w:ascii="仿宋_GB2312" w:hAnsi="仿宋_GB2312" w:eastAsia="仿宋_GB2312" w:cs="仿宋_GB2312"/>
          <w:sz w:val="32"/>
          <w:szCs w:val="32"/>
          <w:u w:val="none"/>
        </w:rPr>
        <w:t>增强公共法律服务与诉讼服务、社会服务的衔接，加快推进公共法律服务体系建设向基层延伸。</w:t>
      </w:r>
    </w:p>
    <w:p w14:paraId="01D4177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各位代表，完成2025年全区经济社会发展的各项目标，任务艰巨，责任重大。我们将在区委的坚强领导下，自觉接受区人大的监督和指导，认真听取区政协的意见建议，坚定信心、开拓进取，以实际行动和成效为青云谱区高质量发展作出新的更大的贡献。</w:t>
      </w:r>
    </w:p>
    <w:p w14:paraId="3CE66ABD">
      <w:pPr>
        <w:pBdr>
          <w:bottom w:val="none" w:color="auto" w:sz="0" w:space="0"/>
        </w:pBdr>
        <w:rPr>
          <w:color w:val="auto"/>
        </w:rPr>
      </w:pPr>
    </w:p>
    <w:p w14:paraId="19A90D90"/>
    <w:sectPr>
      <w:footerReference r:id="rId3" w:type="default"/>
      <w:pgSz w:w="11906" w:h="16838"/>
      <w:pgMar w:top="2098" w:right="1474" w:bottom="1417" w:left="1587" w:header="851" w:footer="992" w:gutter="0"/>
      <w:pgNumType w:fmt="numberInDash"/>
      <w:cols w:space="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82AD1F-0FE8-4AA2-85CC-892BD49CFF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7969B56-4DA6-4F0E-A5A5-8B1A6C6545D6}"/>
  </w:font>
  <w:font w:name="楷体_GB2312">
    <w:panose1 w:val="02010609030101010101"/>
    <w:charset w:val="86"/>
    <w:family w:val="modern"/>
    <w:pitch w:val="default"/>
    <w:sig w:usb0="00000001" w:usb1="080E0000" w:usb2="00000000" w:usb3="00000000" w:csb0="00040000" w:csb1="00000000"/>
    <w:embedRegular r:id="rId3" w:fontKey="{45B13A21-0169-4472-9F53-50CB39957201}"/>
  </w:font>
  <w:font w:name="方正小标宋_GBK">
    <w:panose1 w:val="03000509000000000000"/>
    <w:charset w:val="86"/>
    <w:family w:val="auto"/>
    <w:pitch w:val="default"/>
    <w:sig w:usb0="00000001" w:usb1="080E0000" w:usb2="00000000" w:usb3="00000000" w:csb0="00040000" w:csb1="00000000"/>
    <w:embedRegular r:id="rId4" w:fontKey="{C3D0BBC6-ABCD-4923-B593-A2343D6E61D8}"/>
  </w:font>
  <w:font w:name="楷体">
    <w:panose1 w:val="02010609060101010101"/>
    <w:charset w:val="86"/>
    <w:family w:val="auto"/>
    <w:pitch w:val="default"/>
    <w:sig w:usb0="800002BF" w:usb1="38CF7CFA" w:usb2="00000016" w:usb3="00000000" w:csb0="00040001" w:csb1="00000000"/>
    <w:embedRegular r:id="rId5" w:fontKey="{122946DF-6A8D-4C31-861E-C12566AF6F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173A0">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BF86A5">
                          <w:pPr>
                            <w:pStyle w:val="7"/>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4BF86A5">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hNjhmOGZkMTNhOGU3NWI2ZmMyZWZhNDZjN2Y0YTEifQ=="/>
  </w:docVars>
  <w:rsids>
    <w:rsidRoot w:val="63256C3A"/>
    <w:rsid w:val="02B32844"/>
    <w:rsid w:val="02BC5CDE"/>
    <w:rsid w:val="02DA13AF"/>
    <w:rsid w:val="03C86237"/>
    <w:rsid w:val="03E032E0"/>
    <w:rsid w:val="04354156"/>
    <w:rsid w:val="051735A0"/>
    <w:rsid w:val="05285C10"/>
    <w:rsid w:val="059C2407"/>
    <w:rsid w:val="0AAF0151"/>
    <w:rsid w:val="0BCB720C"/>
    <w:rsid w:val="0C442205"/>
    <w:rsid w:val="0C886EAB"/>
    <w:rsid w:val="0D3266B8"/>
    <w:rsid w:val="0EC87A33"/>
    <w:rsid w:val="0FAE6C29"/>
    <w:rsid w:val="10294F50"/>
    <w:rsid w:val="10615E9C"/>
    <w:rsid w:val="111725AC"/>
    <w:rsid w:val="11242428"/>
    <w:rsid w:val="15165649"/>
    <w:rsid w:val="157F1C29"/>
    <w:rsid w:val="1680307B"/>
    <w:rsid w:val="172631D3"/>
    <w:rsid w:val="179448C6"/>
    <w:rsid w:val="19092B91"/>
    <w:rsid w:val="1BB630ED"/>
    <w:rsid w:val="1D46799C"/>
    <w:rsid w:val="20A856D2"/>
    <w:rsid w:val="221F6251"/>
    <w:rsid w:val="22BB723B"/>
    <w:rsid w:val="25C04648"/>
    <w:rsid w:val="276F3237"/>
    <w:rsid w:val="2CB46F31"/>
    <w:rsid w:val="2D395F1F"/>
    <w:rsid w:val="2D8560A6"/>
    <w:rsid w:val="2F051C47"/>
    <w:rsid w:val="30014FDE"/>
    <w:rsid w:val="30F84EF4"/>
    <w:rsid w:val="315B522B"/>
    <w:rsid w:val="31A12296"/>
    <w:rsid w:val="3532097C"/>
    <w:rsid w:val="35BC7482"/>
    <w:rsid w:val="397F6DBC"/>
    <w:rsid w:val="3B9B6C61"/>
    <w:rsid w:val="3E5E3444"/>
    <w:rsid w:val="3EB05890"/>
    <w:rsid w:val="3FD226A0"/>
    <w:rsid w:val="40427E70"/>
    <w:rsid w:val="40C96430"/>
    <w:rsid w:val="41283D2C"/>
    <w:rsid w:val="428E2B11"/>
    <w:rsid w:val="429A07C3"/>
    <w:rsid w:val="42A46DF8"/>
    <w:rsid w:val="42DD6902"/>
    <w:rsid w:val="43B252A4"/>
    <w:rsid w:val="44F54D87"/>
    <w:rsid w:val="495320AA"/>
    <w:rsid w:val="4A9B5A20"/>
    <w:rsid w:val="4B02033D"/>
    <w:rsid w:val="4C4F3E05"/>
    <w:rsid w:val="4C765DFD"/>
    <w:rsid w:val="4CBD7ED0"/>
    <w:rsid w:val="4F445210"/>
    <w:rsid w:val="4F6463E1"/>
    <w:rsid w:val="51CB5703"/>
    <w:rsid w:val="52D13B7B"/>
    <w:rsid w:val="57EC1669"/>
    <w:rsid w:val="5802612E"/>
    <w:rsid w:val="58BF35CE"/>
    <w:rsid w:val="5A3A490E"/>
    <w:rsid w:val="5A420AC5"/>
    <w:rsid w:val="5A7C6FC0"/>
    <w:rsid w:val="5BAC4711"/>
    <w:rsid w:val="5CC11AE6"/>
    <w:rsid w:val="5DE47C25"/>
    <w:rsid w:val="5DFB201C"/>
    <w:rsid w:val="5F226413"/>
    <w:rsid w:val="607C6F92"/>
    <w:rsid w:val="608F40E5"/>
    <w:rsid w:val="61B36862"/>
    <w:rsid w:val="63256C3A"/>
    <w:rsid w:val="636D41F4"/>
    <w:rsid w:val="65A25D3C"/>
    <w:rsid w:val="65FE251F"/>
    <w:rsid w:val="66372649"/>
    <w:rsid w:val="66430FEE"/>
    <w:rsid w:val="66501015"/>
    <w:rsid w:val="665741EB"/>
    <w:rsid w:val="667B0788"/>
    <w:rsid w:val="66DE4D79"/>
    <w:rsid w:val="67AD297C"/>
    <w:rsid w:val="6D0C019E"/>
    <w:rsid w:val="6E3D7ED6"/>
    <w:rsid w:val="6FB2689C"/>
    <w:rsid w:val="70BB5525"/>
    <w:rsid w:val="70EF0A0B"/>
    <w:rsid w:val="736762CA"/>
    <w:rsid w:val="74FA5D24"/>
    <w:rsid w:val="75763102"/>
    <w:rsid w:val="7688562D"/>
    <w:rsid w:val="77277B70"/>
    <w:rsid w:val="77C777C8"/>
    <w:rsid w:val="77CA4823"/>
    <w:rsid w:val="77E2619E"/>
    <w:rsid w:val="79780D71"/>
    <w:rsid w:val="7A023EF6"/>
    <w:rsid w:val="7B7B71D7"/>
    <w:rsid w:val="7BC54DEB"/>
    <w:rsid w:val="7DFB6A82"/>
    <w:rsid w:val="7E1C2957"/>
    <w:rsid w:val="7E2118AD"/>
    <w:rsid w:val="7E2C6D5D"/>
    <w:rsid w:val="7FFA7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sz w:val="21"/>
    </w:rPr>
  </w:style>
  <w:style w:type="paragraph" w:customStyle="1" w:styleId="3">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4">
    <w:name w:val="table of authorities"/>
    <w:basedOn w:val="1"/>
    <w:next w:val="1"/>
    <w:unhideWhenUsed/>
    <w:qFormat/>
    <w:uiPriority w:val="0"/>
    <w:pPr>
      <w:ind w:left="420" w:leftChars="200"/>
    </w:pPr>
  </w:style>
  <w:style w:type="paragraph" w:styleId="5">
    <w:name w:val="Body Text Indent"/>
    <w:basedOn w:val="1"/>
    <w:qFormat/>
    <w:uiPriority w:val="0"/>
    <w:pPr>
      <w:spacing w:after="120"/>
      <w:ind w:left="420" w:leftChars="20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2"/>
    <w:qFormat/>
    <w:uiPriority w:val="0"/>
    <w:pPr>
      <w:ind w:firstLine="420" w:firstLineChars="100"/>
    </w:pPr>
    <w:rPr>
      <w:rFonts w:ascii="Times New Roman" w:hAnsi="Times New Roman" w:eastAsia="仿宋_GB2312"/>
      <w:sz w:val="32"/>
    </w:rPr>
  </w:style>
  <w:style w:type="paragraph" w:styleId="10">
    <w:name w:val="Body Text First Indent 2"/>
    <w:basedOn w:val="5"/>
    <w:next w:val="1"/>
    <w:qFormat/>
    <w:uiPriority w:val="0"/>
    <w:pPr>
      <w:ind w:firstLine="420" w:firstLineChars="200"/>
    </w:pPr>
  </w:style>
  <w:style w:type="character" w:customStyle="1" w:styleId="13">
    <w:name w:val="NormalCharacter"/>
    <w:link w:val="1"/>
    <w:semiHidden/>
    <w:qFormat/>
    <w:uiPriority w:val="0"/>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7356</Words>
  <Characters>7749</Characters>
  <Lines>1</Lines>
  <Paragraphs>1</Paragraphs>
  <TotalTime>0</TotalTime>
  <ScaleCrop>false</ScaleCrop>
  <LinksUpToDate>false</LinksUpToDate>
  <CharactersWithSpaces>7753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2024-01-09T02:01:00Z</dcterms:created>
  <dc:creator>赵小刀</dc:creator>
  <cp:lastModifiedBy>青云谱区发改委</cp:lastModifiedBy>
  <cp:lastPrinted>2025-01-03T09:08:00Z</cp:lastPrinted>
  <dcterms:modified xsi:type="dcterms:W3CDTF">2025-07-01T08:17:36Z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1E2F5E8931194824A9EFF844C6778641_13</vt:lpwstr>
  </property>
  <property fmtid="{D5CDD505-2E9C-101B-9397-08002B2CF9AE}" pid="4" name="KSOTemplateDocerSaveRecord">
    <vt:lpwstr>eyJoZGlkIjoiOTI5ZmIzNGU2ZjBhZTUwZjk4NDkzNmVhY2M2NDhiNWUiLCJ1c2VySWQiOiIxNjY4MjA1OTI0In0=</vt:lpwstr>
  </property>
</Properties>
</file>