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80" w:lineRule="exact"/>
        <w:jc w:val="center"/>
        <w:rPr>
          <w:rFonts w:hint="eastAsia" w:ascii="方正小标宋简体" w:eastAsia="方正小标宋简体"/>
          <w:b/>
          <w:sz w:val="44"/>
        </w:rPr>
      </w:pPr>
      <w:r>
        <w:rPr>
          <w:rFonts w:hint="eastAsia" w:ascii="方正小标宋简体" w:eastAsia="方正小标宋简体"/>
          <w:b/>
          <w:sz w:val="44"/>
          <w:lang w:val="en-US" w:eastAsia="zh-CN"/>
        </w:rPr>
        <w:t>青云谱区卫健委“十四五”规划重点项目</w:t>
      </w:r>
      <w:r>
        <w:rPr>
          <w:rFonts w:hint="eastAsia" w:ascii="方正小标宋简体" w:eastAsia="方正小标宋简体"/>
          <w:b/>
          <w:sz w:val="44"/>
        </w:rPr>
        <w:t>工作计划</w:t>
      </w:r>
    </w:p>
    <w:p>
      <w:pPr>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政府对卫生事业的关注和投入逐年加大，伴随着我区经济社会的快速发展，居民对医疗服务的需求也加大，卫生事业作为改善民生问题的重要内容，最直接地体现促进社会和谐，得到了区委区政府的高度重视，为提高青云谱区基本公共卫生服务和医疗水平提升项目建设，青云谱区卫健委贯彻落实“以基层为重点”的新时代党的卫生与健康工作方针</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在区政府的大力支持下，青云谱区基层中医药服务能力得到了明显提升。区卫健委</w:t>
      </w: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年度</w:t>
      </w:r>
      <w:r>
        <w:rPr>
          <w:rFonts w:hint="eastAsia" w:ascii="仿宋_GB2312" w:hAnsi="仿宋_GB2312" w:eastAsia="仿宋_GB2312" w:cs="仿宋_GB2312"/>
          <w:sz w:val="32"/>
          <w:szCs w:val="32"/>
          <w:lang w:val="en-US" w:eastAsia="zh-CN"/>
        </w:rPr>
        <w:t>规划重点项目</w:t>
      </w:r>
      <w:r>
        <w:rPr>
          <w:rFonts w:ascii="仿宋_GB2312" w:hAnsi="仿宋_GB2312" w:eastAsia="仿宋_GB2312" w:cs="仿宋_GB2312"/>
          <w:sz w:val="32"/>
          <w:szCs w:val="32"/>
        </w:rPr>
        <w:t>工作计划</w:t>
      </w:r>
      <w:r>
        <w:rPr>
          <w:rFonts w:hint="eastAsia" w:ascii="仿宋_GB2312" w:hAnsi="仿宋_GB2312" w:eastAsia="仿宋_GB2312" w:cs="仿宋_GB2312"/>
          <w:sz w:val="32"/>
          <w:szCs w:val="32"/>
          <w:lang w:eastAsia="zh-CN"/>
        </w:rPr>
        <w:t>汇报</w:t>
      </w:r>
      <w:r>
        <w:rPr>
          <w:rFonts w:ascii="仿宋_GB2312" w:hAnsi="仿宋_GB2312" w:eastAsia="仿宋_GB2312" w:cs="仿宋_GB2312"/>
          <w:sz w:val="32"/>
          <w:szCs w:val="32"/>
        </w:rPr>
        <w:t>如下：</w:t>
      </w:r>
    </w:p>
    <w:p>
      <w:pPr>
        <w:pStyle w:val="7"/>
        <w:keepNext w:val="0"/>
        <w:keepLines w:val="0"/>
        <w:pageBreakBefore w:val="0"/>
        <w:kinsoku/>
        <w:wordWrap/>
        <w:overflowPunct/>
        <w:topLinePunct w:val="0"/>
        <w:autoSpaceDE/>
        <w:autoSpaceDN/>
        <w:bidi w:val="0"/>
        <w:adjustRightInd w:val="0"/>
        <w:snapToGrid w:val="0"/>
        <w:spacing w:line="580" w:lineRule="exact"/>
        <w:ind w:left="0" w:leftChars="0" w:firstLine="640" w:firstLineChars="200"/>
        <w:rPr>
          <w:rFonts w:hint="eastAsia" w:ascii="黑体" w:hAnsi="黑体" w:eastAsia="黑体" w:cs="黑体"/>
          <w:b/>
          <w:kern w:val="2"/>
          <w:sz w:val="32"/>
          <w:szCs w:val="32"/>
          <w:lang w:val="en-US" w:eastAsia="zh-CN" w:bidi="ar-SA"/>
        </w:rPr>
      </w:pPr>
      <w:r>
        <w:rPr>
          <w:rFonts w:hint="eastAsia" w:ascii="黑体" w:hAnsi="黑体" w:eastAsia="黑体" w:cs="黑体"/>
          <w:sz w:val="32"/>
          <w:szCs w:val="32"/>
          <w:lang w:eastAsia="zh-CN"/>
        </w:rPr>
        <w:t>一、</w:t>
      </w:r>
      <w:r>
        <w:rPr>
          <w:rFonts w:hint="eastAsia" w:ascii="黑体" w:hAnsi="黑体" w:eastAsia="黑体" w:cs="黑体"/>
          <w:b/>
          <w:kern w:val="2"/>
          <w:sz w:val="32"/>
          <w:szCs w:val="32"/>
          <w:lang w:val="en-US" w:eastAsia="zh-CN" w:bidi="ar-SA"/>
        </w:rPr>
        <w:t>提高青云谱区基本公共卫生服务和医疗水平提升项目建设</w:t>
      </w:r>
    </w:p>
    <w:p>
      <w:pPr>
        <w:numPr>
          <w:ilvl w:val="0"/>
          <w:numId w:val="0"/>
        </w:num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强化目标任务，督促各重点项目建设工作保质保量按时完成，保障民生工程实用性。青云谱区基本公共卫生服务和医疗水平提升项目2021年10月立项，2022年6月开始施工，项目包括一标段和二标段，一标段总投资5500万，主要包括洪都社区卫生服务中心改扩建、孕儿管理体检中心改造和“15分钟”中医药健康圈建设13个点位打造。目前一标段项目已经全部完工，已投入使用。二标段总投资5200万，主要包括1、青云谱镇卫生院重建项目，建筑面积约3200平方米，街道便民服务中心，建筑面积约1200平方米，社会文化活动中心，建筑总面积约380平方米。2、疾控中心改扩建约3200平方米，3、青云谱镇卫生院热敏灸体验中心新建约400平方米。</w:t>
      </w:r>
    </w:p>
    <w:p>
      <w:pPr>
        <w:numPr>
          <w:ilvl w:val="0"/>
          <w:numId w:val="0"/>
        </w:num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二标段目前完成情况：镇卫生院：支护桩已全部完成，土方外运完成70%，降水井完成8只，观测井完成3口，冠梁完成50%，疾控中心：管线安装完成100%，轻钢龙骨隔断完成100%，轻钢龙骨吊顶完成80%，墙面及门头钢骨架完成100%。二标段计划2025年全部完工。</w:t>
      </w:r>
    </w:p>
    <w:p>
      <w:pPr>
        <w:pStyle w:val="7"/>
        <w:keepNext w:val="0"/>
        <w:keepLines w:val="0"/>
        <w:pageBreakBefore w:val="0"/>
        <w:kinsoku/>
        <w:wordWrap/>
        <w:overflowPunct/>
        <w:topLinePunct w:val="0"/>
        <w:autoSpaceDE/>
        <w:autoSpaceDN/>
        <w:bidi w:val="0"/>
        <w:adjustRightInd w:val="0"/>
        <w:snapToGrid w:val="0"/>
        <w:spacing w:line="580" w:lineRule="exact"/>
        <w:ind w:left="0" w:leftChars="0" w:firstLine="640" w:firstLineChars="200"/>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二、江西省基层人工智能智慧医疗辅助系统建设</w:t>
      </w:r>
    </w:p>
    <w:p>
      <w:pPr>
        <w:numPr>
          <w:ilvl w:val="0"/>
          <w:numId w:val="0"/>
        </w:numPr>
        <w:ind w:firstLine="640" w:firstLineChars="200"/>
        <w:jc w:val="lef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对全区1家乡镇卫生和5家社区卫生服务中心、11家村卫生所联通省智医系统，</w:t>
      </w:r>
      <w:r>
        <w:rPr>
          <w:rFonts w:hint="eastAsia" w:ascii="仿宋_GB2312" w:eastAsia="仿宋_GB2312"/>
          <w:sz w:val="32"/>
          <w:szCs w:val="32"/>
          <w:u w:val="none"/>
          <w:lang w:val="en-US" w:eastAsia="zh-CN"/>
        </w:rPr>
        <w:t>11月13号开始对青云谱区共5个街道社区卫生服务中心、1个镇卫生院、11个卫生所进行初步网络环境、硬件环境、人员信息、药品信息等进行调研，截至12月25日5个街道社区卫生服务中心、1个镇卫生院、11个卫生所均已完成网络环境搭建、药品信息、人员信息已完成录入、目前主要是硬件还未完全到位，会在本周解决该问题。</w:t>
      </w:r>
      <w:r>
        <w:rPr>
          <w:rFonts w:hint="eastAsia" w:ascii="仿宋_GB2312" w:hAnsi="仿宋_GB2312" w:eastAsia="仿宋_GB2312" w:cs="仿宋_GB2312"/>
          <w:sz w:val="32"/>
          <w:szCs w:val="32"/>
          <w:lang w:val="en-US" w:eastAsia="zh-CN"/>
        </w:rPr>
        <w:t>争取2024年1月底前完成江西省基层人工智能智慧医疗辅助系统建设项目并做好系统维保后期工作。</w:t>
      </w:r>
    </w:p>
    <w:p>
      <w:pPr>
        <w:pStyle w:val="7"/>
        <w:keepNext w:val="0"/>
        <w:keepLines w:val="0"/>
        <w:pageBreakBefore w:val="0"/>
        <w:kinsoku/>
        <w:wordWrap/>
        <w:overflowPunct/>
        <w:topLinePunct w:val="0"/>
        <w:autoSpaceDE/>
        <w:autoSpaceDN/>
        <w:bidi w:val="0"/>
        <w:adjustRightInd w:val="0"/>
        <w:snapToGrid w:val="0"/>
        <w:spacing w:line="580" w:lineRule="exact"/>
        <w:ind w:left="0" w:leftChars="0" w:firstLine="640" w:firstLineChars="200"/>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三、打造0-3岁普惠婴幼儿照护服务机构</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sz w:val="32"/>
          <w:szCs w:val="32"/>
          <w:lang w:val="en-US" w:eastAsia="zh-CN"/>
        </w:rPr>
        <w:t>2021年以来我区已完成1家大型普惠托育中心、4家普惠托育机构、21个社区托育点、5家幼儿园宝宝延伸班的改造，解决托位1305个，托位覆盖率3.71‰。极大地改善了群众托育难等问题，提升了辖区居民的获得感和幸福感。</w:t>
      </w:r>
      <w:r>
        <w:rPr>
          <w:rFonts w:hint="eastAsia" w:ascii="仿宋_GB2312" w:hAnsi="仿宋_GB2312" w:eastAsia="仿宋_GB2312" w:cs="仿宋_GB2312"/>
          <w:sz w:val="32"/>
          <w:szCs w:val="32"/>
        </w:rPr>
        <w:t>2024年继续开展示范性普惠婴幼儿照护服务机构奖补政策，进一步发挥示范引领效应，激发社会力量举办婴幼儿照护服务机构的积极性，增加托位供给，提升服务能力，不断满足群众托育需求。</w:t>
      </w:r>
      <w:r>
        <w:rPr>
          <w:rFonts w:hint="eastAsia" w:ascii="仿宋_GB2312" w:hAnsi="仿宋_GB2312" w:eastAsia="仿宋_GB2312" w:cs="仿宋_GB2312"/>
          <w:sz w:val="32"/>
          <w:szCs w:val="32"/>
          <w:lang w:eastAsia="zh-CN"/>
        </w:rPr>
        <w:t>正在筹划</w:t>
      </w:r>
      <w:r>
        <w:rPr>
          <w:rFonts w:hint="eastAsia" w:ascii="仿宋_GB2312" w:hAnsi="仿宋_GB2312" w:eastAsia="仿宋_GB2312" w:cs="仿宋_GB2312"/>
          <w:sz w:val="32"/>
          <w:szCs w:val="32"/>
          <w:lang w:val="en-US" w:eastAsia="zh-CN"/>
        </w:rPr>
        <w:t>2024年</w:t>
      </w:r>
      <w:r>
        <w:rPr>
          <w:rFonts w:hint="eastAsia" w:ascii="仿宋_GB2312" w:hAnsi="仿宋_GB2312" w:eastAsia="仿宋_GB2312" w:cs="仿宋_GB2312"/>
          <w:sz w:val="32"/>
          <w:szCs w:val="32"/>
          <w:lang w:eastAsia="zh-CN"/>
        </w:rPr>
        <w:t>申请中央预算内投资资金打造托育机构项目，</w:t>
      </w:r>
      <w:r>
        <w:rPr>
          <w:rFonts w:hint="eastAsia" w:ascii="仿宋_GB2312" w:hAnsi="仿宋_GB2312" w:eastAsia="仿宋_GB2312" w:cs="仿宋_GB2312"/>
          <w:color w:val="000000"/>
          <w:sz w:val="32"/>
          <w:szCs w:val="32"/>
          <w:lang w:val="en-US" w:eastAsia="zh-CN"/>
        </w:rPr>
        <w:t>项目为改扩建县城区8所托育中心，占地面积</w:t>
      </w:r>
      <w:r>
        <w:rPr>
          <w:rFonts w:hint="eastAsia" w:ascii="仿宋_GB2312" w:hAnsi="仿宋_GB2312" w:cs="仿宋_GB2312"/>
          <w:color w:val="000000" w:themeColor="text1"/>
          <w:sz w:val="32"/>
          <w:szCs w:val="32"/>
          <w:lang w:val="en-US" w:eastAsia="zh-CN"/>
          <w14:textFill>
            <w14:solidFill>
              <w14:schemeClr w14:val="tx1"/>
            </w14:solidFill>
          </w14:textFill>
        </w:rPr>
        <w:t>8595.05</w:t>
      </w:r>
      <w:r>
        <w:rPr>
          <w:rFonts w:hint="eastAsia" w:ascii="仿宋_GB2312" w:hAnsi="仿宋_GB2312" w:eastAsia="仿宋_GB2312" w:cs="仿宋_GB2312"/>
          <w:color w:val="000000"/>
          <w:sz w:val="32"/>
          <w:szCs w:val="32"/>
          <w:lang w:val="en-US" w:eastAsia="zh-CN"/>
        </w:rPr>
        <w:t>平方米，总建筑面积5753.68平方米，共新增托位490个。包括教学用房</w:t>
      </w:r>
      <w:r>
        <w:rPr>
          <w:rFonts w:hint="eastAsia" w:ascii="仿宋_GB2312" w:hAnsi="仿宋_GB2312" w:cs="仿宋_GB2312"/>
          <w:color w:val="000000"/>
          <w:sz w:val="32"/>
          <w:szCs w:val="32"/>
          <w:lang w:val="en-US" w:eastAsia="zh-CN"/>
        </w:rPr>
        <w:t>2365</w:t>
      </w:r>
      <w:r>
        <w:rPr>
          <w:rFonts w:hint="eastAsia" w:ascii="仿宋_GB2312" w:hAnsi="仿宋_GB2312" w:eastAsia="仿宋_GB2312" w:cs="仿宋_GB2312"/>
          <w:color w:val="000000"/>
          <w:sz w:val="32"/>
          <w:szCs w:val="32"/>
          <w:lang w:val="en-US" w:eastAsia="zh-CN"/>
        </w:rPr>
        <w:t>平方米、教学辅助用房</w:t>
      </w:r>
      <w:r>
        <w:rPr>
          <w:rFonts w:hint="eastAsia" w:ascii="仿宋_GB2312" w:hAnsi="仿宋_GB2312" w:cs="仿宋_GB2312"/>
          <w:color w:val="000000"/>
          <w:sz w:val="32"/>
          <w:szCs w:val="32"/>
          <w:lang w:val="en-US" w:eastAsia="zh-CN"/>
        </w:rPr>
        <w:t>1212</w:t>
      </w:r>
      <w:r>
        <w:rPr>
          <w:rFonts w:hint="eastAsia" w:ascii="仿宋_GB2312" w:hAnsi="仿宋_GB2312" w:eastAsia="仿宋_GB2312" w:cs="仿宋_GB2312"/>
          <w:color w:val="000000"/>
          <w:sz w:val="32"/>
          <w:szCs w:val="32"/>
          <w:lang w:val="en-US" w:eastAsia="zh-CN"/>
        </w:rPr>
        <w:t>平方米、监督管理用房</w:t>
      </w:r>
      <w:r>
        <w:rPr>
          <w:rFonts w:hint="eastAsia" w:ascii="仿宋_GB2312" w:hAnsi="仿宋_GB2312" w:cs="仿宋_GB2312"/>
          <w:color w:val="000000"/>
          <w:sz w:val="32"/>
          <w:szCs w:val="32"/>
          <w:lang w:val="en-US" w:eastAsia="zh-CN"/>
        </w:rPr>
        <w:t>541.68</w:t>
      </w:r>
      <w:r>
        <w:rPr>
          <w:rFonts w:hint="eastAsia" w:ascii="仿宋_GB2312" w:hAnsi="仿宋_GB2312" w:eastAsia="仿宋_GB2312" w:cs="仿宋_GB2312"/>
          <w:color w:val="000000"/>
          <w:sz w:val="32"/>
          <w:szCs w:val="32"/>
          <w:lang w:val="en-US" w:eastAsia="zh-CN"/>
        </w:rPr>
        <w:t>平方米、生活用房</w:t>
      </w:r>
      <w:r>
        <w:rPr>
          <w:rFonts w:hint="eastAsia" w:ascii="仿宋_GB2312" w:hAnsi="仿宋_GB2312" w:cs="仿宋_GB2312"/>
          <w:color w:val="000000"/>
          <w:sz w:val="32"/>
          <w:szCs w:val="32"/>
          <w:lang w:val="en-US" w:eastAsia="zh-CN"/>
        </w:rPr>
        <w:t>1635</w:t>
      </w:r>
      <w:r>
        <w:rPr>
          <w:rFonts w:hint="eastAsia" w:ascii="仿宋_GB2312" w:hAnsi="仿宋_GB2312" w:eastAsia="仿宋_GB2312" w:cs="仿宋_GB2312"/>
          <w:color w:val="000000"/>
          <w:sz w:val="32"/>
          <w:szCs w:val="32"/>
          <w:lang w:val="en-US" w:eastAsia="zh-CN"/>
        </w:rPr>
        <w:t>平方米及配套建设</w:t>
      </w:r>
      <w:r>
        <w:rPr>
          <w:rFonts w:hint="eastAsia" w:ascii="仿宋_GB2312" w:hAnsi="仿宋_GB2312" w:cs="仿宋_GB2312"/>
          <w:color w:val="000000" w:themeColor="text1"/>
          <w:sz w:val="32"/>
          <w:szCs w:val="32"/>
          <w:lang w:val="en-US" w:eastAsia="zh-CN"/>
          <w14:textFill>
            <w14:solidFill>
              <w14:schemeClr w14:val="tx1"/>
            </w14:solidFill>
          </w14:textFill>
        </w:rPr>
        <w:t>2841.37</w:t>
      </w:r>
      <w:r>
        <w:rPr>
          <w:rFonts w:hint="eastAsia" w:ascii="仿宋_GB2312" w:hAnsi="仿宋_GB2312" w:eastAsia="仿宋_GB2312" w:cs="仿宋_GB2312"/>
          <w:color w:val="000000"/>
          <w:sz w:val="32"/>
          <w:szCs w:val="32"/>
          <w:lang w:val="en-US" w:eastAsia="zh-CN"/>
        </w:rPr>
        <w:t>平方米室外活动场地、道路等基础设施。</w:t>
      </w:r>
    </w:p>
    <w:p>
      <w:pPr>
        <w:pStyle w:val="7"/>
        <w:keepNext w:val="0"/>
        <w:keepLines w:val="0"/>
        <w:pageBreakBefore w:val="0"/>
        <w:kinsoku/>
        <w:wordWrap/>
        <w:overflowPunct/>
        <w:topLinePunct w:val="0"/>
        <w:autoSpaceDE/>
        <w:autoSpaceDN/>
        <w:bidi w:val="0"/>
        <w:adjustRightInd w:val="0"/>
        <w:snapToGrid w:val="0"/>
        <w:spacing w:line="580" w:lineRule="exact"/>
        <w:ind w:left="0" w:leftChars="0" w:firstLine="640" w:firstLineChars="200"/>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四、打造智慧医疗、智慧医院建设</w:t>
      </w:r>
    </w:p>
    <w:p>
      <w:pPr>
        <w:pStyle w:val="3"/>
        <w:keepNext w:val="0"/>
        <w:keepLines w:val="0"/>
        <w:pageBreakBefore w:val="0"/>
        <w:kinsoku/>
        <w:wordWrap/>
        <w:overflowPunct/>
        <w:topLinePunct w:val="0"/>
        <w:autoSpaceDE/>
        <w:autoSpaceDN/>
        <w:bidi w:val="0"/>
        <w:adjustRightInd/>
        <w:snapToGrid/>
        <w:spacing w:before="0" w:beforeAutospacing="0" w:after="0" w:afterAutospacing="0" w:line="560" w:lineRule="exact"/>
        <w:ind w:right="0" w:firstLine="664"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pacing w:val="6"/>
          <w:sz w:val="32"/>
          <w:szCs w:val="32"/>
        </w:rPr>
        <w:t>完善卫健系统智慧医院建设，提供远程</w:t>
      </w:r>
      <w:r>
        <w:rPr>
          <w:rFonts w:hint="eastAsia" w:ascii="仿宋_GB2312" w:hAnsi="仿宋_GB2312" w:eastAsia="仿宋_GB2312" w:cs="仿宋_GB2312"/>
          <w:spacing w:val="5"/>
          <w:sz w:val="32"/>
          <w:szCs w:val="32"/>
        </w:rPr>
        <w:t>医疗线上服务，方</w:t>
      </w:r>
      <w:r>
        <w:rPr>
          <w:rFonts w:hint="eastAsia" w:ascii="仿宋_GB2312" w:hAnsi="仿宋_GB2312" w:eastAsia="仿宋_GB2312" w:cs="仿宋_GB2312"/>
          <w:spacing w:val="12"/>
          <w:sz w:val="32"/>
          <w:szCs w:val="32"/>
        </w:rPr>
        <w:t>便群众就医，简化就医流程，</w:t>
      </w:r>
      <w:r>
        <w:rPr>
          <w:rFonts w:hint="eastAsia" w:ascii="仿宋_GB2312" w:hAnsi="仿宋_GB2312" w:eastAsia="仿宋_GB2312" w:cs="仿宋_GB2312"/>
          <w:sz w:val="32"/>
          <w:szCs w:val="32"/>
        </w:rPr>
        <w:t>全力推进远程会诊系统项目建设工作。为做好全市远程会诊系统项目建设工作，</w:t>
      </w:r>
      <w:r>
        <w:rPr>
          <w:rFonts w:hint="eastAsia" w:ascii="仿宋_GB2312" w:hAnsi="仿宋_GB2312" w:eastAsia="仿宋_GB2312" w:cs="仿宋_GB2312"/>
          <w:sz w:val="32"/>
          <w:szCs w:val="32"/>
          <w:lang w:eastAsia="zh-CN"/>
        </w:rPr>
        <w:t>京山街道社区服务中心</w:t>
      </w:r>
      <w:r>
        <w:rPr>
          <w:rFonts w:hint="eastAsia" w:ascii="仿宋_GB2312" w:hAnsi="仿宋_GB2312" w:eastAsia="仿宋_GB2312" w:cs="仿宋_GB2312"/>
          <w:sz w:val="32"/>
          <w:szCs w:val="32"/>
        </w:rPr>
        <w:t>成立了以</w:t>
      </w:r>
      <w:r>
        <w:rPr>
          <w:rFonts w:hint="eastAsia" w:ascii="仿宋_GB2312" w:hAnsi="仿宋_GB2312" w:eastAsia="仿宋_GB2312" w:cs="仿宋_GB2312"/>
          <w:sz w:val="32"/>
          <w:szCs w:val="32"/>
          <w:lang w:eastAsia="zh-CN"/>
        </w:rPr>
        <w:t>中心主任</w:t>
      </w:r>
      <w:r>
        <w:rPr>
          <w:rFonts w:hint="eastAsia" w:ascii="仿宋_GB2312" w:hAnsi="仿宋_GB2312" w:eastAsia="仿宋_GB2312" w:cs="仿宋_GB2312"/>
          <w:sz w:val="32"/>
          <w:szCs w:val="32"/>
        </w:rPr>
        <w:t>为组长的协调领导小组，</w:t>
      </w:r>
      <w:r>
        <w:rPr>
          <w:rFonts w:hint="eastAsia" w:ascii="仿宋_GB2312" w:hAnsi="仿宋_GB2312" w:eastAsia="仿宋_GB2312" w:cs="仿宋_GB2312"/>
          <w:sz w:val="32"/>
          <w:szCs w:val="32"/>
          <w:lang w:eastAsia="zh-CN"/>
        </w:rPr>
        <w:t>引进</w:t>
      </w:r>
      <w:r>
        <w:rPr>
          <w:rFonts w:hint="eastAsia" w:ascii="仿宋_GB2312" w:hAnsi="仿宋_GB2312" w:eastAsia="仿宋_GB2312" w:cs="仿宋_GB2312"/>
          <w:sz w:val="32"/>
          <w:szCs w:val="32"/>
          <w:lang w:val="en-US" w:eastAsia="zh-CN"/>
        </w:rPr>
        <w:t>DR设备</w:t>
      </w:r>
      <w:r>
        <w:rPr>
          <w:rFonts w:hint="eastAsia" w:ascii="仿宋_GB2312" w:hAnsi="仿宋_GB2312" w:eastAsia="仿宋_GB2312" w:cs="仿宋_GB2312"/>
          <w:sz w:val="32"/>
          <w:szCs w:val="32"/>
          <w:lang w:eastAsia="zh-CN"/>
        </w:rPr>
        <w:t>，已经完成远程会诊项目，并正式启用，受到辖区居民的一致好评</w:t>
      </w:r>
      <w:r>
        <w:rPr>
          <w:rFonts w:hint="eastAsia" w:ascii="仿宋_GB2312" w:hAnsi="仿宋_GB2312" w:eastAsia="仿宋_GB2312" w:cs="仿宋_GB2312"/>
          <w:sz w:val="32"/>
          <w:szCs w:val="32"/>
        </w:rPr>
        <w:t>。</w:t>
      </w:r>
    </w:p>
    <w:p>
      <w:pPr>
        <w:pStyle w:val="2"/>
        <w:keepNext w:val="0"/>
        <w:keepLines w:val="0"/>
        <w:pageBreakBefore w:val="0"/>
        <w:kinsoku/>
        <w:wordWrap/>
        <w:overflowPunct/>
        <w:topLinePunct w:val="0"/>
        <w:autoSpaceDE/>
        <w:autoSpaceDN/>
        <w:bidi w:val="0"/>
        <w:adjustRightInd/>
        <w:snapToGrid/>
        <w:spacing w:line="560" w:lineRule="exact"/>
        <w:ind w:right="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pacing w:val="12"/>
          <w:sz w:val="32"/>
          <w:szCs w:val="32"/>
        </w:rPr>
        <w:t>特别是针对我区</w:t>
      </w:r>
      <w:r>
        <w:rPr>
          <w:rFonts w:hint="eastAsia" w:ascii="仿宋_GB2312" w:hAnsi="仿宋_GB2312" w:eastAsia="仿宋_GB2312" w:cs="仿宋_GB2312"/>
          <w:spacing w:val="11"/>
          <w:sz w:val="32"/>
          <w:szCs w:val="32"/>
        </w:rPr>
        <w:t>南昌市第五医院远</w:t>
      </w:r>
      <w:r>
        <w:rPr>
          <w:rFonts w:hint="eastAsia" w:ascii="仿宋_GB2312" w:hAnsi="仿宋_GB2312" w:eastAsia="仿宋_GB2312" w:cs="仿宋_GB2312"/>
          <w:spacing w:val="10"/>
          <w:sz w:val="32"/>
          <w:szCs w:val="32"/>
        </w:rPr>
        <w:t>程医疗线上服务</w:t>
      </w:r>
      <w:r>
        <w:rPr>
          <w:rFonts w:hint="eastAsia" w:ascii="仿宋_GB2312" w:hAnsi="仿宋_GB2312" w:eastAsia="仿宋_GB2312" w:cs="仿宋_GB2312"/>
          <w:spacing w:val="10"/>
          <w:sz w:val="32"/>
          <w:szCs w:val="32"/>
          <w:lang w:eastAsia="zh-CN"/>
        </w:rPr>
        <w:t>，</w:t>
      </w:r>
      <w:r>
        <w:rPr>
          <w:rFonts w:hint="eastAsia" w:ascii="仿宋_GB2312" w:hAnsi="仿宋_GB2312" w:eastAsia="仿宋_GB2312" w:cs="仿宋_GB2312"/>
          <w:spacing w:val="10"/>
          <w:sz w:val="32"/>
          <w:szCs w:val="32"/>
        </w:rPr>
        <w:t>对相关设备陈旧老化现象，督促其进行更换、</w:t>
      </w:r>
      <w:r>
        <w:rPr>
          <w:rFonts w:hint="eastAsia" w:ascii="仿宋_GB2312" w:hAnsi="仿宋_GB2312" w:eastAsia="仿宋_GB2312" w:cs="仿宋_GB2312"/>
          <w:spacing w:val="-1"/>
          <w:sz w:val="32"/>
          <w:szCs w:val="32"/>
        </w:rPr>
        <w:t>增设。完成重症系统、移动护理、移动查房系统上线运行工作；</w:t>
      </w:r>
      <w:r>
        <w:rPr>
          <w:rFonts w:hint="eastAsia" w:ascii="仿宋_GB2312" w:hAnsi="仿宋_GB2312" w:eastAsia="仿宋_GB2312" w:cs="仿宋_GB2312"/>
          <w:spacing w:val="6"/>
          <w:sz w:val="32"/>
          <w:szCs w:val="32"/>
        </w:rPr>
        <w:t>完成泰康</w:t>
      </w:r>
      <w:bookmarkStart w:id="0" w:name="_GoBack"/>
      <w:bookmarkEnd w:id="0"/>
      <w:r>
        <w:rPr>
          <w:rFonts w:hint="eastAsia" w:ascii="仿宋_GB2312" w:hAnsi="仿宋_GB2312" w:eastAsia="仿宋_GB2312" w:cs="仿宋_GB2312"/>
          <w:spacing w:val="6"/>
          <w:sz w:val="32"/>
          <w:szCs w:val="32"/>
        </w:rPr>
        <w:t>智能审核控制系统与医院</w:t>
      </w:r>
      <w:r>
        <w:rPr>
          <w:rFonts w:hint="eastAsia" w:ascii="仿宋_GB2312" w:hAnsi="仿宋_GB2312" w:eastAsia="仿宋_GB2312" w:cs="仿宋_GB2312"/>
          <w:sz w:val="32"/>
          <w:szCs w:val="32"/>
        </w:rPr>
        <w:t>HIS</w:t>
      </w:r>
      <w:r>
        <w:rPr>
          <w:rFonts w:hint="eastAsia" w:ascii="仿宋_GB2312" w:hAnsi="仿宋_GB2312" w:eastAsia="仿宋_GB2312" w:cs="仿宋_GB2312"/>
          <w:spacing w:val="-34"/>
          <w:sz w:val="32"/>
          <w:szCs w:val="32"/>
        </w:rPr>
        <w:t xml:space="preserve"> </w:t>
      </w:r>
      <w:r>
        <w:rPr>
          <w:rFonts w:hint="eastAsia" w:ascii="仿宋_GB2312" w:hAnsi="仿宋_GB2312" w:eastAsia="仿宋_GB2312" w:cs="仿宋_GB2312"/>
          <w:spacing w:val="6"/>
          <w:sz w:val="32"/>
          <w:szCs w:val="32"/>
        </w:rPr>
        <w:t>系统的对接；完成</w:t>
      </w:r>
      <w:r>
        <w:rPr>
          <w:rFonts w:hint="eastAsia" w:ascii="仿宋_GB2312" w:hAnsi="仿宋_GB2312" w:eastAsia="仿宋_GB2312" w:cs="仿宋_GB2312"/>
          <w:spacing w:val="-57"/>
          <w:sz w:val="32"/>
          <w:szCs w:val="32"/>
        </w:rPr>
        <w:t xml:space="preserve"> </w:t>
      </w:r>
      <w:r>
        <w:rPr>
          <w:rFonts w:hint="eastAsia" w:ascii="仿宋_GB2312" w:hAnsi="仿宋_GB2312" w:eastAsia="仿宋_GB2312" w:cs="仿宋_GB2312"/>
          <w:sz w:val="32"/>
          <w:szCs w:val="32"/>
        </w:rPr>
        <w:t>DRGS</w:t>
      </w:r>
      <w:r>
        <w:rPr>
          <w:rFonts w:hint="eastAsia" w:ascii="仿宋_GB2312" w:hAnsi="仿宋_GB2312" w:eastAsia="仿宋_GB2312" w:cs="仿宋_GB2312"/>
          <w:spacing w:val="-59"/>
          <w:sz w:val="32"/>
          <w:szCs w:val="32"/>
        </w:rPr>
        <w:t xml:space="preserve"> </w:t>
      </w:r>
      <w:r>
        <w:rPr>
          <w:rFonts w:hint="eastAsia" w:ascii="仿宋_GB2312" w:hAnsi="仿宋_GB2312" w:eastAsia="仿宋_GB2312" w:cs="仿宋_GB2312"/>
          <w:spacing w:val="6"/>
          <w:sz w:val="32"/>
          <w:szCs w:val="32"/>
        </w:rPr>
        <w:t>分</w:t>
      </w:r>
      <w:r>
        <w:rPr>
          <w:rFonts w:hint="eastAsia" w:ascii="仿宋_GB2312" w:hAnsi="仿宋_GB2312" w:eastAsia="仿宋_GB2312" w:cs="仿宋_GB2312"/>
          <w:spacing w:val="13"/>
          <w:sz w:val="32"/>
          <w:szCs w:val="32"/>
        </w:rPr>
        <w:t>组器与医院</w:t>
      </w:r>
      <w:r>
        <w:rPr>
          <w:rFonts w:hint="eastAsia" w:ascii="仿宋_GB2312" w:hAnsi="仿宋_GB2312" w:eastAsia="仿宋_GB2312" w:cs="仿宋_GB2312"/>
          <w:spacing w:val="-30"/>
          <w:sz w:val="32"/>
          <w:szCs w:val="32"/>
        </w:rPr>
        <w:t xml:space="preserve"> </w:t>
      </w:r>
      <w:r>
        <w:rPr>
          <w:rFonts w:hint="eastAsia" w:ascii="仿宋_GB2312" w:hAnsi="仿宋_GB2312" w:eastAsia="仿宋_GB2312" w:cs="仿宋_GB2312"/>
          <w:sz w:val="32"/>
          <w:szCs w:val="32"/>
        </w:rPr>
        <w:t>HIS</w:t>
      </w:r>
      <w:r>
        <w:rPr>
          <w:rFonts w:hint="eastAsia" w:ascii="仿宋_GB2312" w:hAnsi="仿宋_GB2312" w:eastAsia="仿宋_GB2312" w:cs="仿宋_GB2312"/>
          <w:spacing w:val="13"/>
          <w:sz w:val="32"/>
          <w:szCs w:val="32"/>
        </w:rPr>
        <w:t>的对接；完成关键系统的等级保护测评工作。完</w:t>
      </w:r>
      <w:r>
        <w:rPr>
          <w:rFonts w:hint="eastAsia" w:ascii="仿宋_GB2312" w:hAnsi="仿宋_GB2312" w:eastAsia="仿宋_GB2312" w:cs="仿宋_GB2312"/>
          <w:spacing w:val="2"/>
          <w:sz w:val="32"/>
          <w:szCs w:val="32"/>
        </w:rPr>
        <w:t>成体检系统升级改造工作。</w:t>
      </w:r>
    </w:p>
    <w:p>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b w:val="0"/>
          <w:bCs w:val="0"/>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4480" w:firstLineChars="1400"/>
        <w:textAlignment w:val="auto"/>
        <w:rPr>
          <w:rFonts w:hint="eastAsia" w:ascii="仿宋_GB2312" w:hAnsi="仿宋_GB2312" w:eastAsia="仿宋_GB2312" w:cs="仿宋_GB2312"/>
          <w:b w:val="0"/>
          <w:bCs w:val="0"/>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4480" w:firstLineChars="1400"/>
        <w:textAlignment w:val="auto"/>
        <w:rPr>
          <w:rFonts w:hint="eastAsia" w:ascii="仿宋_GB2312" w:hAnsi="仿宋_GB2312" w:eastAsia="仿宋_GB2312" w:cs="仿宋_GB2312"/>
          <w:b w:val="0"/>
          <w:bCs w:val="0"/>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4480" w:firstLineChars="1400"/>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青云谱区卫健委</w:t>
      </w:r>
    </w:p>
    <w:p>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4480" w:firstLineChars="1400"/>
        <w:textAlignment w:val="auto"/>
        <w:rPr>
          <w:rFonts w:hint="default"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2024年3月25日</w:t>
      </w:r>
    </w:p>
    <w:p>
      <w:pPr>
        <w:pStyle w:val="7"/>
        <w:keepNext w:val="0"/>
        <w:keepLines w:val="0"/>
        <w:pageBreakBefore w:val="0"/>
        <w:kinsoku/>
        <w:wordWrap/>
        <w:overflowPunct/>
        <w:topLinePunct w:val="0"/>
        <w:autoSpaceDE/>
        <w:autoSpaceDN/>
        <w:bidi w:val="0"/>
        <w:adjustRightInd w:val="0"/>
        <w:snapToGrid w:val="0"/>
        <w:spacing w:line="580" w:lineRule="exact"/>
        <w:ind w:left="0" w:leftChars="0" w:firstLine="420" w:firstLineChars="200"/>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JmZDRiYTM4N2NlMTA1NjMyODQ5OGJlNzEyOWM1NWMifQ=="/>
  </w:docVars>
  <w:rsids>
    <w:rsidRoot w:val="00000000"/>
    <w:rsid w:val="06BB2440"/>
    <w:rsid w:val="0F930041"/>
    <w:rsid w:val="38F36D5D"/>
    <w:rsid w:val="4BAB19A2"/>
    <w:rsid w:val="4DD60E1F"/>
    <w:rsid w:val="52311D13"/>
    <w:rsid w:val="777D113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qFormat/>
    <w:uiPriority w:val="0"/>
  </w:style>
  <w:style w:type="table" w:default="1" w:styleId="5">
    <w:name w:val="Normal Table"/>
    <w:autoRedefine/>
    <w:semiHidden/>
    <w:qFormat/>
    <w:uiPriority w:val="0"/>
    <w:tblPr>
      <w:tblCellMar>
        <w:top w:w="0" w:type="dxa"/>
        <w:left w:w="108" w:type="dxa"/>
        <w:bottom w:w="0" w:type="dxa"/>
        <w:right w:w="108" w:type="dxa"/>
      </w:tblCellMar>
    </w:tblPr>
  </w:style>
  <w:style w:type="paragraph" w:styleId="2">
    <w:name w:val="Body Text"/>
    <w:basedOn w:val="1"/>
    <w:autoRedefine/>
    <w:unhideWhenUsed/>
    <w:qFormat/>
    <w:uiPriority w:val="99"/>
    <w:pPr>
      <w:spacing w:after="120"/>
    </w:pPr>
  </w:style>
  <w:style w:type="paragraph" w:styleId="3">
    <w:name w:val="Normal (Web)"/>
    <w:basedOn w:val="1"/>
    <w:autoRedefine/>
    <w:qFormat/>
    <w:uiPriority w:val="0"/>
    <w:pPr>
      <w:widowControl/>
      <w:spacing w:before="100" w:beforeAutospacing="1" w:after="100" w:afterAutospacing="1"/>
      <w:jc w:val="left"/>
    </w:pPr>
    <w:rPr>
      <w:rFonts w:ascii="宋体" w:hAnsi="宋体" w:cs="宋体"/>
      <w:kern w:val="0"/>
      <w:sz w:val="24"/>
    </w:rPr>
  </w:style>
  <w:style w:type="paragraph" w:styleId="4">
    <w:name w:val="Body Text First Indent"/>
    <w:basedOn w:val="2"/>
    <w:next w:val="2"/>
    <w:qFormat/>
    <w:uiPriority w:val="0"/>
    <w:pPr>
      <w:spacing w:after="0"/>
      <w:ind w:firstLine="420" w:firstLineChars="100"/>
    </w:pPr>
    <w:rPr>
      <w:rFonts w:ascii="Calibri" w:hAnsi="Calibri" w:eastAsia="宋体" w:cs="Times New Roman"/>
      <w:b/>
      <w:bCs/>
      <w:sz w:val="44"/>
      <w:szCs w:val="44"/>
    </w:rPr>
  </w:style>
  <w:style w:type="paragraph" w:styleId="7">
    <w:name w:val="List Paragraph"/>
    <w:basedOn w:val="1"/>
    <w:autoRedefine/>
    <w:qFormat/>
    <w:uiPriority w:val="34"/>
    <w:pPr>
      <w:ind w:firstLine="420" w:firstLine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15</TotalTime>
  <ScaleCrop>false</ScaleCrop>
  <LinksUpToDate>false</LinksUpToDate>
  <CharactersWithSpaces>0</CharactersWithSpaces>
  <Application>WPS Office_12.1.0.16417_F1E327BC-269C-435d-A152-05C5408002CA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2023-12-26T08:18:00Z</dcterms:created>
  <dc:creator>Administrator</dc:creator>
  <cp:lastModifiedBy>魔法少女梅莉酱</cp:lastModifiedBy>
  <dcterms:modified xsi:type="dcterms:W3CDTF">2024-03-25T02:32:03Z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2052-12.1.0.16417</vt:lpwstr>
  </property>
  <property fmtid="{D5CDD505-2E9C-101B-9397-08002B2CF9AE}" pid="3" name="ICV">
    <vt:lpwstr>5D435C2BE75B4BC29A20C881F2E76660_12</vt:lpwstr>
  </property>
</Properties>
</file>