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pageBreakBefore w:val="0"/>
        <w:kinsoku/>
        <w:wordWrap w:val="0"/>
        <w:overflowPunct/>
        <w:topLinePunct w:val="0"/>
        <w:autoSpaceDE/>
        <w:autoSpaceDN/>
        <w:bidi w:val="0"/>
        <w:adjustRightInd/>
        <w:snapToGrid/>
        <w:spacing w:after="0"/>
        <w:jc w:val="center"/>
        <w:rPr>
          <w:rFonts w:hint="eastAsia" w:ascii="方正小标宋简体" w:hAnsi="方正小标宋简体" w:eastAsia="方正小标宋简体" w:cs="方正小标宋简体"/>
          <w:sz w:val="36"/>
          <w:szCs w:val="36"/>
          <w:highlight w:val="none"/>
          <w:lang w:eastAsia="zh-CN"/>
        </w:rPr>
      </w:pPr>
      <w:bookmarkStart w:id="0" w:name="_GoBack"/>
      <w:r>
        <w:rPr>
          <w:rFonts w:hint="eastAsia" w:ascii="方正小标宋简体" w:hAnsi="方正小标宋简体" w:eastAsia="方正小标宋简体" w:cs="方正小标宋简体"/>
          <w:sz w:val="36"/>
          <w:szCs w:val="36"/>
          <w:highlight w:val="none"/>
        </w:rPr>
        <w:t>2026年南昌市</w:t>
      </w:r>
      <w:r>
        <w:rPr>
          <w:rFonts w:hint="eastAsia" w:ascii="方正小标宋简体" w:hAnsi="方正小标宋简体" w:eastAsia="方正小标宋简体" w:cs="方正小标宋简体"/>
          <w:sz w:val="36"/>
          <w:szCs w:val="36"/>
          <w:highlight w:val="none"/>
          <w:lang w:val="en-US" w:eastAsia="zh-CN"/>
        </w:rPr>
        <w:t>青云谱区</w:t>
      </w:r>
      <w:r>
        <w:rPr>
          <w:rFonts w:hint="eastAsia" w:ascii="方正小标宋简体" w:hAnsi="方正小标宋简体" w:eastAsia="方正小标宋简体" w:cs="方正小标宋简体"/>
          <w:sz w:val="36"/>
          <w:szCs w:val="36"/>
          <w:highlight w:val="none"/>
        </w:rPr>
        <w:t>市场监督管理局随机抽查事项清单</w:t>
      </w:r>
    </w:p>
    <w:bookmarkEnd w:id="0"/>
    <w:tbl>
      <w:tblPr>
        <w:tblStyle w:val="5"/>
        <w:tblW w:w="15419" w:type="dxa"/>
        <w:jc w:val="center"/>
        <w:tblInd w:w="0" w:type="dxa"/>
        <w:tblLayout w:type="fixed"/>
        <w:tblCellMar>
          <w:top w:w="0" w:type="dxa"/>
          <w:left w:w="108" w:type="dxa"/>
          <w:bottom w:w="0" w:type="dxa"/>
          <w:right w:w="108" w:type="dxa"/>
        </w:tblCellMar>
      </w:tblPr>
      <w:tblGrid>
        <w:gridCol w:w="548"/>
        <w:gridCol w:w="2803"/>
        <w:gridCol w:w="2671"/>
        <w:gridCol w:w="2695"/>
        <w:gridCol w:w="4206"/>
        <w:gridCol w:w="950"/>
        <w:gridCol w:w="1546"/>
      </w:tblGrid>
      <w:tr>
        <w:tblPrEx>
          <w:tblLayout w:type="fixed"/>
          <w:tblCellMar>
            <w:top w:w="0" w:type="dxa"/>
            <w:left w:w="108" w:type="dxa"/>
            <w:bottom w:w="0" w:type="dxa"/>
            <w:right w:w="108" w:type="dxa"/>
          </w:tblCellMar>
        </w:tblPrEx>
        <w:trPr>
          <w:cantSplit/>
          <w:trHeight w:val="652" w:hRule="atLeast"/>
          <w:tblHeader/>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kern w:val="0"/>
                <w:sz w:val="24"/>
                <w:szCs w:val="24"/>
                <w:highlight w:val="none"/>
              </w:rPr>
              <w:t>序号</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kern w:val="0"/>
                <w:sz w:val="24"/>
                <w:szCs w:val="24"/>
                <w:highlight w:val="none"/>
              </w:rPr>
              <w:t>抽查事项名称</w:t>
            </w:r>
          </w:p>
        </w:tc>
        <w:tc>
          <w:tcPr>
            <w:tcW w:w="2671" w:type="dxa"/>
            <w:tcBorders>
              <w:top w:val="single" w:color="auto" w:sz="4" w:space="0"/>
              <w:left w:val="single" w:color="auto"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kern w:val="0"/>
                <w:sz w:val="24"/>
                <w:szCs w:val="24"/>
                <w:highlight w:val="none"/>
              </w:rPr>
              <w:t>检查依据</w:t>
            </w: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kern w:val="0"/>
                <w:sz w:val="24"/>
                <w:szCs w:val="24"/>
                <w:highlight w:val="none"/>
              </w:rPr>
              <w:t>检查对象</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kern w:val="0"/>
                <w:sz w:val="24"/>
                <w:szCs w:val="24"/>
                <w:highlight w:val="none"/>
              </w:rPr>
              <w:t>检查内容</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auto"/>
                <w:kern w:val="0"/>
                <w:sz w:val="24"/>
                <w:szCs w:val="24"/>
                <w:highlight w:val="none"/>
              </w:rPr>
              <w:t>事项类别</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b/>
                <w:bCs/>
                <w:color w:val="000000"/>
                <w:sz w:val="24"/>
                <w:szCs w:val="24"/>
                <w:highlight w:val="none"/>
              </w:rPr>
            </w:pPr>
            <w:r>
              <w:rPr>
                <w:rFonts w:hint="eastAsia" w:ascii="仿宋" w:hAnsi="仿宋" w:eastAsia="仿宋" w:cs="仿宋"/>
                <w:b/>
                <w:bCs/>
                <w:color w:val="000000"/>
                <w:kern w:val="0"/>
                <w:sz w:val="24"/>
                <w:szCs w:val="24"/>
                <w:highlight w:val="none"/>
              </w:rPr>
              <w:t>实施科室</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val="en-US" w:eastAsia="zh-CN"/>
              </w:rPr>
              <w:t>1</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对市场主体营业执照（登记证）规范使用情况的行政检查</w:t>
            </w:r>
          </w:p>
        </w:tc>
        <w:tc>
          <w:tcPr>
            <w:tcW w:w="2671" w:type="dxa"/>
            <w:vMerge w:val="restart"/>
            <w:tcBorders>
              <w:top w:val="single" w:color="000000"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《中华人民共和国公司法》2023年修订）《中华人民共和国个人独资企业法》（</w:t>
            </w:r>
            <w:r>
              <w:rPr>
                <w:rFonts w:hint="eastAsia" w:ascii="仿宋" w:hAnsi="仿宋" w:eastAsia="仿宋" w:cs="仿宋"/>
                <w:color w:val="000000"/>
                <w:kern w:val="0"/>
                <w:sz w:val="21"/>
                <w:szCs w:val="21"/>
                <w:highlight w:val="none"/>
                <w:lang w:val="en-US" w:eastAsia="zh-CN"/>
              </w:rPr>
              <w:t>1999</w:t>
            </w:r>
            <w:r>
              <w:rPr>
                <w:rFonts w:hint="eastAsia" w:ascii="仿宋" w:hAnsi="仿宋" w:eastAsia="仿宋" w:cs="仿宋"/>
                <w:color w:val="000000"/>
                <w:kern w:val="0"/>
                <w:sz w:val="21"/>
                <w:szCs w:val="21"/>
                <w:highlight w:val="none"/>
              </w:rPr>
              <w:t>年</w:t>
            </w:r>
            <w:r>
              <w:rPr>
                <w:rFonts w:hint="eastAsia" w:ascii="仿宋" w:hAnsi="仿宋" w:eastAsia="仿宋" w:cs="仿宋"/>
                <w:color w:val="000000"/>
                <w:kern w:val="0"/>
                <w:sz w:val="21"/>
                <w:szCs w:val="21"/>
                <w:highlight w:val="none"/>
                <w:lang w:val="en-US" w:eastAsia="zh-CN"/>
              </w:rPr>
              <w:t>修订</w:t>
            </w:r>
            <w:r>
              <w:rPr>
                <w:rFonts w:hint="eastAsia" w:ascii="仿宋" w:hAnsi="仿宋" w:eastAsia="仿宋" w:cs="仿宋"/>
                <w:color w:val="000000"/>
                <w:kern w:val="0"/>
                <w:sz w:val="21"/>
                <w:szCs w:val="21"/>
                <w:highlight w:val="none"/>
              </w:rPr>
              <w:t>）《中华人民共和国合伙企业法》（2006年修订）《中华人民共和国市场主体登记管理条例》《中华人民共和国市场主体登记管理条例实施细则》《中华人民共和国农民专业合作社法》（2017年修订）《外国企业常驻代表机构登记管理条例》（</w:t>
            </w:r>
            <w:r>
              <w:rPr>
                <w:rFonts w:hint="eastAsia" w:ascii="仿宋" w:hAnsi="仿宋" w:eastAsia="仿宋" w:cs="仿宋"/>
                <w:color w:val="000000"/>
                <w:kern w:val="0"/>
                <w:sz w:val="21"/>
                <w:szCs w:val="21"/>
                <w:highlight w:val="none"/>
                <w:lang w:val="en-US" w:eastAsia="zh-CN"/>
              </w:rPr>
              <w:t>2024</w:t>
            </w:r>
            <w:r>
              <w:rPr>
                <w:rFonts w:hint="eastAsia" w:ascii="仿宋" w:hAnsi="仿宋" w:eastAsia="仿宋" w:cs="仿宋"/>
                <w:color w:val="000000"/>
                <w:kern w:val="0"/>
                <w:sz w:val="21"/>
                <w:szCs w:val="21"/>
                <w:highlight w:val="none"/>
              </w:rPr>
              <w:t>年修订）</w:t>
            </w: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营业执照（登记证）规范使用情况的检查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val="en-US" w:eastAsia="zh-CN"/>
              </w:rPr>
              <w:t>2</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对市场主体名称规范使用情况的行政检查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名称规范使用情况的检查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val="en-US" w:eastAsia="zh-CN"/>
              </w:rPr>
              <w:t>3</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对市场主体经营（驻在）期限的行政检查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经营（驻在）期限的检查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val="en-US" w:eastAsia="zh-CN"/>
              </w:rPr>
              <w:t>4</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对市场主体擅自改变主要登记事项或者超出核准登记的经营范围从事经营活动的行政检查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w w:val="96"/>
                <w:kern w:val="0"/>
                <w:sz w:val="21"/>
                <w:szCs w:val="21"/>
                <w:highlight w:val="none"/>
              </w:rPr>
              <w:t>经营（业务）范围中无需审批的经营（业务）项目的检查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val="en-US" w:eastAsia="zh-CN"/>
              </w:rPr>
              <w:t>5</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对市场主体住所（经营场所）或驻在场所的行政检查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住所（经营场所）或驻在场所的检查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val="en-US" w:eastAsia="zh-CN"/>
              </w:rPr>
              <w:t>6</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对企业注册资本实缴情况的行政检查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《国务院关于印发注册资本登记制度改革方案的通知》明确的暂不实行注册资本认缴登记制的行业企业</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注册资本实缴情况的检查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544"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sz w:val="21"/>
                <w:szCs w:val="21"/>
                <w:highlight w:val="none"/>
                <w:lang w:eastAsia="zh-CN"/>
              </w:rPr>
            </w:pPr>
            <w:r>
              <w:rPr>
                <w:rFonts w:hint="eastAsia" w:ascii="仿宋" w:hAnsi="仿宋" w:eastAsia="仿宋" w:cs="仿宋"/>
                <w:color w:val="000000"/>
                <w:kern w:val="0"/>
                <w:sz w:val="21"/>
                <w:szCs w:val="21"/>
                <w:highlight w:val="none"/>
                <w:lang w:val="en-US" w:eastAsia="zh-CN"/>
              </w:rPr>
              <w:t>7</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对企业法定代表人（负责人）任职情况的行政检查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企业</w:t>
            </w:r>
          </w:p>
        </w:tc>
        <w:tc>
          <w:tcPr>
            <w:tcW w:w="4206" w:type="dxa"/>
            <w:tcBorders>
              <w:top w:val="single" w:color="000000" w:sz="4" w:space="0"/>
              <w:left w:val="single" w:color="000000" w:sz="4" w:space="0"/>
              <w:bottom w:val="single" w:color="000000" w:sz="4" w:space="0"/>
              <w:right w:val="single" w:color="000000" w:sz="4" w:space="0"/>
            </w:tcBorders>
            <w:noWrap/>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法定代表人（负责人）任职情况的检查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795"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kern w:val="0"/>
                <w:sz w:val="21"/>
                <w:szCs w:val="21"/>
                <w:highlight w:val="none"/>
                <w:lang w:val="en-US" w:eastAsia="zh-CN"/>
              </w:rPr>
              <w:t>8</w:t>
            </w:r>
          </w:p>
        </w:tc>
        <w:tc>
          <w:tcPr>
            <w:tcW w:w="2803" w:type="dxa"/>
            <w:tcBorders>
              <w:top w:val="single" w:color="000000" w:sz="4" w:space="0"/>
              <w:left w:val="single" w:color="000000" w:sz="4" w:space="0"/>
              <w:bottom w:val="single" w:color="000000"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对企业提交虚假材料或者采取其他欺诈手段隐瞒重要事实取得登记的行政检查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rPr>
                <w:rFonts w:hint="eastAsia" w:ascii="仿宋" w:hAnsi="仿宋" w:eastAsia="仿宋" w:cs="仿宋"/>
                <w:color w:val="00000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企业</w:t>
            </w:r>
          </w:p>
        </w:tc>
        <w:tc>
          <w:tcPr>
            <w:tcW w:w="4206" w:type="dxa"/>
            <w:tcBorders>
              <w:top w:val="single" w:color="000000" w:sz="4" w:space="0"/>
              <w:left w:val="single" w:color="000000" w:sz="4" w:space="0"/>
              <w:bottom w:val="single" w:color="000000" w:sz="4" w:space="0"/>
              <w:right w:val="single" w:color="000000" w:sz="4" w:space="0"/>
            </w:tcBorders>
            <w:noWrap/>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法定代表人、自然人股东身份真实性的检查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9</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对企业、个体工商户、农民专业合作社公示信息的行政检查</w:t>
            </w:r>
          </w:p>
        </w:tc>
        <w:tc>
          <w:tcPr>
            <w:tcW w:w="2671" w:type="dxa"/>
            <w:tcBorders>
              <w:top w:val="single" w:color="auto" w:sz="4" w:space="0"/>
              <w:left w:val="single" w:color="000000" w:sz="4" w:space="0"/>
              <w:bottom w:val="single" w:color="000000" w:sz="4" w:space="0"/>
              <w:right w:val="single" w:color="000000" w:sz="4" w:space="0"/>
            </w:tcBorders>
            <w:noWrap w:val="0"/>
            <w:vAlign w:val="top"/>
          </w:tcPr>
          <w:p>
            <w:pPr>
              <w:keepNext w:val="0"/>
              <w:keepLines/>
              <w:pageBreakBefore w:val="0"/>
              <w:widowControl/>
              <w:kinsoku/>
              <w:wordWrap w:val="0"/>
              <w:overflowPunct/>
              <w:topLinePunct w:val="0"/>
              <w:autoSpaceDE/>
              <w:autoSpaceDN/>
              <w:bidi w:val="0"/>
              <w:adjustRightInd/>
              <w:snapToGrid/>
              <w:spacing w:line="280" w:lineRule="exact"/>
              <w:jc w:val="both"/>
              <w:textAlignment w:val="top"/>
              <w:rPr>
                <w:rFonts w:hint="eastAsia" w:ascii="仿宋" w:hAnsi="仿宋" w:eastAsia="仿宋" w:cs="仿宋"/>
                <w:color w:val="000000"/>
                <w:kern w:val="0"/>
                <w:sz w:val="21"/>
                <w:szCs w:val="21"/>
                <w:highlight w:val="none"/>
              </w:rPr>
            </w:pPr>
            <w:r>
              <w:rPr>
                <w:rFonts w:hint="eastAsia" w:ascii="仿宋" w:hAnsi="仿宋" w:eastAsia="仿宋" w:cs="仿宋"/>
                <w:color w:val="000000"/>
                <w:w w:val="96"/>
                <w:kern w:val="0"/>
                <w:sz w:val="21"/>
                <w:szCs w:val="21"/>
                <w:highlight w:val="none"/>
              </w:rPr>
              <w:t>《企业信息公示暂行条例》《企业公示信息抽查办法》《企业经营异常名录管理办法》《个体工商户年度报告办法》</w:t>
            </w:r>
            <w:r>
              <w:rPr>
                <w:rFonts w:hint="eastAsia" w:ascii="仿宋" w:hAnsi="仿宋" w:eastAsia="仿宋" w:cs="仿宋"/>
                <w:color w:val="000000"/>
                <w:w w:val="96"/>
                <w:kern w:val="0"/>
                <w:sz w:val="21"/>
                <w:szCs w:val="21"/>
                <w:highlight w:val="none"/>
                <w:lang w:eastAsia="zh-CN"/>
              </w:rPr>
              <w:t>（</w:t>
            </w:r>
            <w:r>
              <w:rPr>
                <w:rFonts w:hint="eastAsia" w:ascii="仿宋" w:hAnsi="仿宋" w:eastAsia="仿宋" w:cs="仿宋"/>
                <w:color w:val="000000"/>
                <w:w w:val="96"/>
                <w:kern w:val="0"/>
                <w:sz w:val="21"/>
                <w:szCs w:val="21"/>
                <w:highlight w:val="none"/>
                <w:lang w:val="en-US" w:eastAsia="zh-CN"/>
              </w:rPr>
              <w:t>2025年修正</w:t>
            </w:r>
            <w:r>
              <w:rPr>
                <w:rFonts w:hint="eastAsia" w:ascii="仿宋" w:hAnsi="仿宋" w:eastAsia="仿宋" w:cs="仿宋"/>
                <w:color w:val="000000"/>
                <w:w w:val="96"/>
                <w:kern w:val="0"/>
                <w:sz w:val="21"/>
                <w:szCs w:val="21"/>
                <w:highlight w:val="none"/>
                <w:lang w:eastAsia="zh-CN"/>
              </w:rPr>
              <w:t>）</w:t>
            </w:r>
            <w:r>
              <w:rPr>
                <w:rFonts w:hint="eastAsia" w:ascii="仿宋" w:hAnsi="仿宋" w:eastAsia="仿宋" w:cs="仿宋"/>
                <w:color w:val="000000"/>
                <w:w w:val="96"/>
                <w:kern w:val="0"/>
                <w:sz w:val="21"/>
                <w:szCs w:val="21"/>
                <w:highlight w:val="none"/>
              </w:rPr>
              <w:t>《农民专业合作社年度报告公示办法》（2025年修正）《中华人民共和国市场主体登记管理条例实施细则》《保障中小企业款项支付条例》（2025年修</w:t>
            </w:r>
            <w:r>
              <w:rPr>
                <w:rFonts w:hint="eastAsia" w:ascii="仿宋" w:hAnsi="仿宋" w:eastAsia="仿宋" w:cs="仿宋"/>
                <w:color w:val="000000"/>
                <w:w w:val="96"/>
                <w:kern w:val="0"/>
                <w:sz w:val="21"/>
                <w:szCs w:val="21"/>
                <w:highlight w:val="none"/>
                <w:lang w:val="en-US" w:eastAsia="zh-CN"/>
              </w:rPr>
              <w:t>订</w:t>
            </w:r>
            <w:r>
              <w:rPr>
                <w:rFonts w:hint="eastAsia" w:ascii="仿宋" w:hAnsi="仿宋" w:eastAsia="仿宋" w:cs="仿宋"/>
                <w:color w:val="000000"/>
                <w:w w:val="96"/>
                <w:kern w:val="0"/>
                <w:sz w:val="21"/>
                <w:szCs w:val="21"/>
                <w:highlight w:val="none"/>
              </w:rPr>
              <w:t>）</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对企业、个体工商户、农民专业合作社公示信息的行政检查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10</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对持续公示信息的行政检查</w:t>
            </w:r>
          </w:p>
        </w:tc>
        <w:tc>
          <w:tcPr>
            <w:tcW w:w="2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信息公示暂行条例》《企业公示信息抽查办法》《企业经营异常名录管理办法》《个体工商户年度报告办法》（2025年修正）《农民专业合作社年度报告公示办法》（2025年修正）《中华人民共和国市场主体登记管理条例实施细则》《保障中小企业款项支付条例》（2025年修订）</w:t>
            </w:r>
          </w:p>
        </w:tc>
        <w:tc>
          <w:tcPr>
            <w:tcW w:w="269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企业、个体工商户、农民专业合作社</w:t>
            </w:r>
          </w:p>
        </w:tc>
        <w:tc>
          <w:tcPr>
            <w:tcW w:w="420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对企业、个体工商户、农民专业合作社公示信息的行政检查</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信用监督管理股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rPr>
              <w:t>11</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0"/>
                <w:sz w:val="21"/>
                <w:szCs w:val="21"/>
                <w:highlight w:val="none"/>
              </w:rPr>
              <w:t>对经营者价格活动的行政检查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color w:val="000000"/>
                <w:w w:val="96"/>
                <w:kern w:val="0"/>
                <w:sz w:val="21"/>
                <w:szCs w:val="21"/>
                <w:highlight w:val="none"/>
              </w:rPr>
              <w:t>《中华人民共和国价格法》《价格违法行为行政处罚规定》</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0"/>
                <w:sz w:val="21"/>
                <w:szCs w:val="21"/>
                <w:highlight w:val="none"/>
              </w:rPr>
              <w:t>依法获得药品经营许可证的药品零售企业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kern w:val="2"/>
                <w:sz w:val="21"/>
                <w:szCs w:val="21"/>
                <w:highlight w:val="none"/>
                <w:lang w:val="en-US" w:eastAsia="zh-CN" w:bidi="ar-SA"/>
              </w:rPr>
            </w:pPr>
            <w:r>
              <w:rPr>
                <w:rFonts w:hint="eastAsia" w:ascii="仿宋" w:hAnsi="仿宋" w:eastAsia="仿宋" w:cs="仿宋"/>
                <w:kern w:val="0"/>
                <w:sz w:val="21"/>
                <w:szCs w:val="21"/>
                <w:highlight w:val="none"/>
              </w:rPr>
              <w:t>重点检查明码标价情况及其他价格行为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价格监督股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12</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对电子商务经营者亮证亮照的行政检查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电子商务经营者是否其首页显著位置，持续公示营业执照信息、与其经营业务有关的行政许可信息</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13</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对电子商务经营者披露信息的行政检查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电子商务经营者是否全面、真实、准确、及时地披露商品或者服务信息</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995"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14</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对电子商务经营者信息的行政检查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电子商务经营者是否记录、保存平台上发布的商品和服务信息、交易信息，并确保信息的完整性、保密性、可用性。</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价格监督股</w:t>
            </w:r>
          </w:p>
        </w:tc>
      </w:tr>
      <w:tr>
        <w:tblPrEx>
          <w:tblLayout w:type="fixed"/>
          <w:tblCellMar>
            <w:top w:w="0" w:type="dxa"/>
            <w:left w:w="108" w:type="dxa"/>
            <w:bottom w:w="0" w:type="dxa"/>
            <w:right w:w="108" w:type="dxa"/>
          </w:tblCellMar>
        </w:tblPrEx>
        <w:trPr>
          <w:cantSplit/>
          <w:trHeight w:val="94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15</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对电子商务平台对平台内用户设置条件的行政检查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电子商务平台是否存在对平台内用户设置条件行为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957"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16</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对电子商务平台经营者搭售的行政检查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电子商务平台经营者搭售商品或者服务，是否以显著方式提请消费者注意</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17</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对电子商务平台经营者的行政检查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电子商务平台经营者是否按规定从事经营活动</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158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18</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对电子商务平台经营者修改平台服务协议和交易规则的行政检查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电子商务平台经营者修改平台服务协议和交易规则，是否在其首页显著位置公开征求意见，采取合理措施确保有关各方能够及时充分表达意见。修改内容是否至少在实施前七日予以公示。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r>
              <w:rPr>
                <w:rFonts w:hint="eastAsia" w:ascii="仿宋" w:hAnsi="仿宋" w:eastAsia="仿宋" w:cs="仿宋"/>
                <w:color w:val="000000"/>
                <w:kern w:val="0"/>
                <w:sz w:val="21"/>
                <w:szCs w:val="21"/>
                <w:highlight w:val="none"/>
              </w:rPr>
              <w:t>科</w:t>
            </w:r>
          </w:p>
        </w:tc>
      </w:tr>
      <w:tr>
        <w:tblPrEx>
          <w:tblLayout w:type="fixed"/>
          <w:tblCellMar>
            <w:top w:w="0" w:type="dxa"/>
            <w:left w:w="108" w:type="dxa"/>
            <w:bottom w:w="0" w:type="dxa"/>
            <w:right w:w="108" w:type="dxa"/>
          </w:tblCellMar>
        </w:tblPrEx>
        <w:trPr>
          <w:cantSplit/>
          <w:trHeight w:val="1077"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19</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对电子商务平台经营者自营业务的行政检查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电子商务平台经营者是否以显著方式区分标记自营业务和平台内经营者开展的业务</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20</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rPr>
              <w:t>对网络交易平台、商品交易市场等交易场所为违法出售、购买、利用野生动物及其制品或者禁止使用的猎捕工具提供交易服务行为的行政检查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网络交易平台是否存在为违法出售、购买、利用野生动物及其制品或者禁止使用的猎捕工具提供交易服务行为。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957"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21</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rPr>
              <w:t>对制定平台服务协议和交易规则的行政检查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电子商务平台经营者是否按规定制定平台服务协议和交易规则</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网络交易监督</w:t>
            </w:r>
          </w:p>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管理</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927"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22</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对虚假广告的行政检查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《中华人民共和国广告法》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广告经营单位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是否存在虚假广告</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8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23</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对其他违法广告行为的行政检查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《中华人民共和国广告法》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广告经营单位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是否存在其他违法广告行为</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1004"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24</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对广告经营者、广告发布者未建立健全相关制度的行政检查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《中华人民共和国广告法》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广告经营单位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是否建立健全广告业务的承接登记、审核、档案管理制度</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874"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25</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w w:val="96"/>
                <w:kern w:val="0"/>
                <w:sz w:val="21"/>
                <w:szCs w:val="21"/>
                <w:highlight w:val="none"/>
              </w:rPr>
              <w:t>对违法广告代言活动的行政检查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《中华人民共和国广告法》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广告经营单位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是否存在违法广告代言活动</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1174"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26</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对广告未显著标明关闭标志的行政检查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《中华人民共和国广告法》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广告经营单位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2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在互联网页面以弹出等形式发布的广告，是否显著标明关闭标志，确保一键关闭。</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172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27</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对广告主申请药品、医疗器械、保健食品和特殊医学用途配方食品广告审查情况的行政检查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《中华人民共和国广告法》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广告经营单位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2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广告主发布药品、医疗器械、保健食品和特殊医学用途配方食品广告内容，是否经过相关部门审查。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28</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对食品相关产品进行行政检查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《食品相关产品生产许可实施细则》《中华人民共和国工业产品生产许可证管理条例》《中华人民共和国工业产品许可证管理条例实施办法》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食品相关产品企业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30" w:lineRule="exact"/>
              <w:jc w:val="left"/>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rPr>
              <w:t>1.获证企业是否继续符合从事生产经营活动的法定条件；</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rPr>
              <w:t>2.获证企业生产条件、检验手段、生产技术或工艺是否发生变化，若发生变化是否按照规定办理重新审查手续；</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rPr>
              <w:t>3.获证企业的原辅材料进货验收制度是否有效运行，是否有针对性地对企业原辅材料的采购进货、入库验收、保管和使用情况进行抽查；</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rPr>
              <w:t>4.获证产品是否实施出厂检验，重点检查出厂检验记录和报告；</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rPr>
              <w:t>5.获证产品包装是否符合标识标注规定，产品包装上是否标注生产许可证标志和编号，是否存在误导、欺骗消费者的情况；</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rPr>
              <w:t>6.获证企业在发现其生产的产品存在可能对人体健康和生命安全构成安全隐患时，是否立即向社会公布有关信息，通知销售者停止销售，告知消费者停止使用，主动召回产品，并向有关监督管理部门报告</w:t>
            </w:r>
            <w:r>
              <w:rPr>
                <w:rFonts w:hint="eastAsia" w:ascii="仿宋" w:hAnsi="仿宋" w:eastAsia="仿宋" w:cs="仿宋"/>
                <w:color w:val="000000"/>
                <w:kern w:val="0"/>
                <w:sz w:val="21"/>
                <w:szCs w:val="21"/>
                <w:highlight w:val="none"/>
                <w:lang w:eastAsia="zh-CN"/>
              </w:rPr>
              <w:t>；</w:t>
            </w:r>
          </w:p>
          <w:p>
            <w:pPr>
              <w:pStyle w:val="3"/>
              <w:keepNext w:val="0"/>
              <w:keepLines/>
              <w:pageBreakBefore w:val="0"/>
              <w:kinsoku/>
              <w:wordWrap w:val="0"/>
              <w:overflowPunct/>
              <w:topLinePunct w:val="0"/>
              <w:autoSpaceDE/>
              <w:autoSpaceDN/>
              <w:bidi w:val="0"/>
              <w:adjustRightInd/>
              <w:snapToGrid/>
              <w:jc w:val="left"/>
              <w:rPr>
                <w:rFonts w:hint="eastAsia" w:ascii="仿宋" w:hAnsi="仿宋" w:eastAsia="仿宋" w:cs="仿宋"/>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rPr>
              <w:t>7</w:t>
            </w:r>
            <w:r>
              <w:rPr>
                <w:rFonts w:hint="eastAsia" w:ascii="仿宋" w:hAnsi="仿宋" w:eastAsia="仿宋" w:cs="仿宋"/>
                <w:color w:val="000000"/>
                <w:kern w:val="0"/>
                <w:sz w:val="21"/>
                <w:szCs w:val="21"/>
                <w:highlight w:val="none"/>
              </w:rPr>
              <w:t>.核实被抽查企业的营业执照、市场准入等相关资质信息</w:t>
            </w:r>
            <w:r>
              <w:rPr>
                <w:rFonts w:hint="eastAsia" w:ascii="仿宋" w:hAnsi="仿宋" w:eastAsia="仿宋" w:cs="仿宋"/>
                <w:color w:val="000000"/>
                <w:kern w:val="0"/>
                <w:sz w:val="21"/>
                <w:szCs w:val="21"/>
                <w:highlight w:val="none"/>
                <w:lang w:eastAsia="zh-CN"/>
              </w:rPr>
              <w:t>。</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lang w:val="en-US" w:eastAsia="zh-CN"/>
              </w:rPr>
              <w:t>8</w:t>
            </w:r>
            <w:r>
              <w:rPr>
                <w:rFonts w:hint="eastAsia" w:ascii="仿宋" w:hAnsi="仿宋" w:eastAsia="仿宋" w:cs="仿宋"/>
                <w:color w:val="000000"/>
                <w:kern w:val="0"/>
                <w:sz w:val="21"/>
                <w:szCs w:val="21"/>
                <w:highlight w:val="none"/>
              </w:rPr>
              <w:t>.在市场上或者企业成品仓库内待销的产品中随机抽取企业明示合格的产品；</w:t>
            </w:r>
            <w:r>
              <w:rPr>
                <w:rFonts w:hint="eastAsia" w:ascii="仿宋" w:hAnsi="仿宋" w:eastAsia="仿宋" w:cs="仿宋"/>
                <w:color w:val="000000"/>
                <w:kern w:val="0"/>
                <w:sz w:val="21"/>
                <w:szCs w:val="21"/>
                <w:highlight w:val="none"/>
              </w:rPr>
              <w:br w:type="textWrapping"/>
            </w:r>
            <w:r>
              <w:rPr>
                <w:rFonts w:hint="eastAsia" w:ascii="仿宋" w:hAnsi="仿宋" w:eastAsia="仿宋" w:cs="仿宋"/>
                <w:color w:val="000000"/>
                <w:kern w:val="0"/>
                <w:sz w:val="21"/>
                <w:szCs w:val="21"/>
                <w:highlight w:val="none"/>
                <w:lang w:val="en-US" w:eastAsia="zh-CN"/>
              </w:rPr>
              <w:t>9</w:t>
            </w:r>
            <w:r>
              <w:rPr>
                <w:rFonts w:hint="eastAsia" w:ascii="仿宋" w:hAnsi="仿宋" w:eastAsia="仿宋" w:cs="仿宋"/>
                <w:color w:val="000000"/>
                <w:kern w:val="0"/>
                <w:sz w:val="21"/>
                <w:szCs w:val="21"/>
                <w:highlight w:val="none"/>
              </w:rPr>
              <w:t>.依据有关产品标准对产品进行检验。</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质量股</w:t>
            </w:r>
          </w:p>
        </w:tc>
      </w:tr>
      <w:tr>
        <w:tblPrEx>
          <w:tblLayout w:type="fixed"/>
          <w:tblCellMar>
            <w:top w:w="0" w:type="dxa"/>
            <w:left w:w="108" w:type="dxa"/>
            <w:bottom w:w="0" w:type="dxa"/>
            <w:right w:w="108" w:type="dxa"/>
          </w:tblCellMar>
        </w:tblPrEx>
        <w:trPr>
          <w:cantSplit/>
          <w:trHeight w:val="1795"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29</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对生产、流通领域产品的行政检查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《中华人民共和国产品质量法》、《产品质量监督抽查管理暂行办法》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烟花爆竹</w:t>
            </w:r>
            <w:r>
              <w:rPr>
                <w:rFonts w:hint="eastAsia" w:ascii="仿宋" w:hAnsi="仿宋" w:eastAsia="仿宋" w:cs="仿宋"/>
                <w:color w:val="auto"/>
                <w:kern w:val="0"/>
                <w:sz w:val="21"/>
                <w:szCs w:val="21"/>
                <w:highlight w:val="none"/>
                <w:lang w:eastAsia="zh-CN"/>
              </w:rPr>
              <w:t>经营</w:t>
            </w:r>
            <w:r>
              <w:rPr>
                <w:rFonts w:hint="eastAsia" w:ascii="仿宋" w:hAnsi="仿宋" w:eastAsia="仿宋" w:cs="仿宋"/>
                <w:color w:val="auto"/>
                <w:kern w:val="0"/>
                <w:sz w:val="21"/>
                <w:szCs w:val="21"/>
                <w:highlight w:val="none"/>
              </w:rPr>
              <w:t>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1.核实被抽查企业的营业执照、市场准入等相关资质信息；</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2.在市场上或者企业成品仓库内待销的产品中随机抽取企业明示合格的产品；</w:t>
            </w:r>
            <w:r>
              <w:rPr>
                <w:rFonts w:hint="eastAsia" w:ascii="仿宋" w:hAnsi="仿宋" w:eastAsia="仿宋" w:cs="仿宋"/>
                <w:color w:val="auto"/>
                <w:kern w:val="0"/>
                <w:sz w:val="21"/>
                <w:szCs w:val="21"/>
                <w:highlight w:val="none"/>
              </w:rPr>
              <w:br w:type="textWrapping"/>
            </w:r>
            <w:r>
              <w:rPr>
                <w:rFonts w:hint="eastAsia" w:ascii="仿宋" w:hAnsi="仿宋" w:eastAsia="仿宋" w:cs="仿宋"/>
                <w:color w:val="auto"/>
                <w:kern w:val="0"/>
                <w:sz w:val="21"/>
                <w:szCs w:val="21"/>
                <w:highlight w:val="none"/>
              </w:rPr>
              <w:t>3.依据有关产品标准对产品进行检验。</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rPr>
              <w:t>产品</w:t>
            </w:r>
            <w:r>
              <w:rPr>
                <w:rFonts w:hint="eastAsia" w:ascii="仿宋" w:hAnsi="仿宋" w:eastAsia="仿宋" w:cs="仿宋"/>
                <w:color w:val="000000"/>
                <w:kern w:val="0"/>
                <w:sz w:val="21"/>
                <w:szCs w:val="21"/>
                <w:highlight w:val="none"/>
                <w:lang w:eastAsia="zh-CN"/>
              </w:rPr>
              <w:t>质量</w:t>
            </w:r>
            <w:r>
              <w:rPr>
                <w:rFonts w:hint="eastAsia" w:ascii="仿宋" w:hAnsi="仿宋" w:eastAsia="仿宋" w:cs="仿宋"/>
                <w:color w:val="000000"/>
                <w:kern w:val="0"/>
                <w:sz w:val="21"/>
                <w:szCs w:val="21"/>
                <w:highlight w:val="none"/>
                <w:lang w:val="en-US" w:eastAsia="zh-CN"/>
              </w:rPr>
              <w:t>监管</w:t>
            </w:r>
            <w:r>
              <w:rPr>
                <w:rFonts w:hint="eastAsia" w:ascii="仿宋" w:hAnsi="仿宋" w:eastAsia="仿宋" w:cs="仿宋"/>
                <w:color w:val="000000"/>
                <w:kern w:val="0"/>
                <w:sz w:val="21"/>
                <w:szCs w:val="21"/>
                <w:highlight w:val="none"/>
                <w:lang w:eastAsia="zh-CN"/>
              </w:rPr>
              <w:t>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30</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对食用农产品集中交易市场开办者建立或者落实食品安全管理制度的行政检查</w:t>
            </w:r>
          </w:p>
        </w:tc>
        <w:tc>
          <w:tcPr>
            <w:tcW w:w="2671" w:type="dxa"/>
            <w:vMerge w:val="restart"/>
            <w:tcBorders>
              <w:top w:val="single" w:color="000000" w:sz="4" w:space="0"/>
              <w:left w:val="single" w:color="auto" w:sz="4" w:space="0"/>
              <w:bottom w:val="single" w:color="auto"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sz w:val="21"/>
                <w:szCs w:val="21"/>
                <w:highlight w:val="none"/>
              </w:rPr>
            </w:pPr>
            <w:r>
              <w:rPr>
                <w:rFonts w:hint="eastAsia" w:ascii="仿宋" w:hAnsi="仿宋" w:eastAsia="仿宋" w:cs="仿宋"/>
                <w:sz w:val="21"/>
                <w:szCs w:val="21"/>
                <w:highlight w:val="none"/>
              </w:rPr>
              <w:t>《中华人民共和国食品安全法》、《中华人民共和国农产品质量安全法》、《中华人民共和国食品安全法实施条例》和《食用农产品市场销售质量安全监督管理办法》</w:t>
            </w:r>
          </w:p>
          <w:p>
            <w:pPr>
              <w:pStyle w:val="3"/>
              <w:keepNext w:val="0"/>
              <w:keepLines/>
              <w:pageBreakBefore w:val="0"/>
              <w:kinsoku/>
              <w:wordWrap w:val="0"/>
              <w:overflowPunct/>
              <w:topLinePunct w:val="0"/>
              <w:autoSpaceDE/>
              <w:autoSpaceDN/>
              <w:bidi w:val="0"/>
              <w:adjustRightInd/>
              <w:snapToGrid/>
              <w:jc w:val="left"/>
              <w:rPr>
                <w:rFonts w:hint="eastAsia" w:ascii="仿宋" w:hAnsi="仿宋" w:eastAsia="仿宋" w:cs="仿宋"/>
                <w:color w:val="000000"/>
                <w:kern w:val="0"/>
                <w:sz w:val="21"/>
                <w:szCs w:val="21"/>
                <w:highlight w:val="none"/>
                <w:lang w:val="en-US" w:eastAsia="zh-CN" w:bidi="ar-SA"/>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食用农产品集中交易市场开办者建立或者落实食品安全管理制度的检查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31</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对食用农产品集中交易市场开办者配备食品安全管理人员、专业技术人员，或者组织食品安全知识培训的行政检查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食用农产品集中交易市场开办者配备食品安全管理人员、专业技术人员，或者组织食品安全知识培训的检查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32</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对食用农产品集中交易市场开办者制定食品安全事故处置方案的行政检查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食用农产品集中交易市场开办者制定食品安全事故处置方案的检查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33</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对食用农产品集中交易市场开办者按食用农产品类别实行分区销售的行政检查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食用农产品集中交易市场开办者按食用农产品类别实行分区销售的检查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34</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对食用农产品集中交易市场开办者环境、设施、设备等符合有关食用农产品质量安全要求的行政检查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食用农产品集中交易市场开办者环境、设施、设备等符合有关食用农产品质量安全要求的检查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35</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对食用农产品集中交易市场开办者按要求建立入场销售者档案，或者按要求保存和更新销售者档案的行政检查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食用农产品集中交易市场开办者入场销售者档案的检查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36</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对食用农产品集中交易市场开办者如实向所在地县级市场监管部门报告市场基本信息的行政检查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食用农产品集中交易市场开办者市场基本信息的检查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37</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对食用农产品集中交易市场开办者查验并留存入场销售者的社会信用代码或者身份证复印件、食用农产品产地证明或者购货凭证、合格证明文件的行政检查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食用农产品集中交易市场开办者索票索证相关记录的检查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38</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对食用农产品集中交易市场开办者进行抽样检验或者快速检测，无法提供食用农产品产地证明或者购货凭证、合格证明文件的销售者不得入场销售的行政检查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食用农产品集中交易市场开办者快速检测记录的检查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39</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对食用农产品集中交易市场开办者发现食用农产品不符合食品安全标准等违法行为，依照集中交易市场管理规定或者与销售者签订的协议处理的行政检查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食用农产品集中交易市场开办者食品安全协议及相关材料的检查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40</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对食用农产品集中交易市场开办者在醒目位置及时公布食用农产品质量安全管理制度、食品安全管理人员、食用农产品抽样检验结果以及不合格食用农产品处理结果、投诉举报电话等信息的行政检查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食用农产品集中交易市场开办者在醒目位置及时公布食用农产品质量安全管理制度、食品安全管理人员、食用农产品抽样检验结果以及不合格食用农产品处理结果、投诉举报电话等信息情况的检查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41</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7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对食用农产品销售者按要求配备与销售品种相适应的冷藏、冷冻设施，温度、湿度和环境等符合特殊要求的行政检查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食用农产品销售者冷藏温度记录的检查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42</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7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对食用农产品销售者是否存在销售使用国家禁止的兽药和剧毒、高毒农药，或者添加食品添加以外的化学物质和其他可能危害人体健康物质的食用农产品的行政检查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43</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7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对食用农产品销售者是否存在销售病死、毒死或者死因不明的禽、畜、兽、水产动物肉类，未按规定进行检疫或者检疫不合格的肉类，以及为防病等特殊需要明令禁止销售的食用农产品的行政检查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44</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7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对食用农产品销售者是否存在销售致病性微生物，农药残留、兽药残留、生物毒素、重金属等污染物质以及其他危害人体健康的物质含量超过食品安全标准限量的食用农产品的行政检查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45</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5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对食用农产品销售者是否存在销售违规使用食品添加剂，感观性状异常或者掺假掺杂，标注虚假生产日期、保质期或者超过保质期的食用农产品的行政检查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46</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对食用农产品销售者是否存在销售使用食品添加剂和食品相关产品不符合食品安全标准，被包装材料、容器、运输工具等污染的食用农产品的行政检查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47</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对食用农产品销售者是否存在销售未按规定进行检验的肉类，或者销售标准虚假的信息，标注伪造、冒用质量标志的食用农产品的行政检查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48</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对食用农产品销售者是否存在销售未按要求选择贮存服务提供者，对贮存服务提供者履行食用农产品贮存相关义务的行政检查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食用农产品销售者进货查验记录及相关材料的检查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49</w:t>
            </w:r>
          </w:p>
        </w:tc>
        <w:tc>
          <w:tcPr>
            <w:tcW w:w="2803"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对食用农产品销售者按要求进行包装或者附加标签的行政检查</w:t>
            </w:r>
          </w:p>
        </w:tc>
        <w:tc>
          <w:tcPr>
            <w:tcW w:w="2671"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p>
        </w:tc>
        <w:tc>
          <w:tcPr>
            <w:tcW w:w="2695"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对食用农产品销售者按要求进行包装或者附加标签的检查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50</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对食用农产品者按要求公布食用农产品相关信息的行政检查</w:t>
            </w:r>
          </w:p>
        </w:tc>
        <w:tc>
          <w:tcPr>
            <w:tcW w:w="2671" w:type="dxa"/>
            <w:tcBorders>
              <w:top w:val="single" w:color="auto"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sz w:val="21"/>
                <w:szCs w:val="21"/>
                <w:highlight w:val="none"/>
              </w:rPr>
              <w:t>《中华人民共和国食品安全法》、《中华人民共和国农产品质量安全法》、《中华人民共和国食品安全法实施条例》和《食用农产品市场销售质量安全监督管理办法》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对食用农产品者按要求公布食用农产品相关信息的检查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2233"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51</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对食用农产品批发市场开办者按照《中华人民共和国食品安全法》第六十四条，开展入场销售食用农产品抽样检验、对发现不合格情况要求停止销售、并向监管部门报告的行政检查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《中华人民共和国食品安全法》、《中华人民共和国农产品质量安全法》、《中华人民共和国食品安全法实施条例》和《食用农产品市场销售质量安全监督管理办法》</w:t>
            </w:r>
          </w:p>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 w:bidi="ar-SA"/>
              </w:rPr>
              <w:t>对食用农产品批发市场应当配备检验设备和检验人员或者委托符合本法规定的食品检验机构，对进入该批发市场销售的食用农产品进行抽样检验；发现不符合食品安全标准的，应当要求销售者立即停止销售，并向食品安全监督管理部门报告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52</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对食用农产品批发市场开办者与入场销售者签订食用农产品质量安全协议，印制统一格式的食用农产品销售凭证的行政检查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left"/>
              <w:textAlignment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《中华人民共和国食品安全法》、《中华人民共和国农产品质量安全法》、《中华人民共和国食品安全法实施条例》和《食用农产品市场销售质量安全监督管理办法》</w:t>
            </w:r>
          </w:p>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rPr>
              <w:t>对食用农产品批发市场开办者与入场销售者签订食用农产品质量安全协议，印制统一格式的食用农产品销售凭证的检查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53</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对食用农产品销售者建立食用农产品进货查验记录制度的行政检查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《中华人民共和国食品安全法》《中华人民共和国农产品质量安全法》《食用农产品市场销售质量安全监督管理办法》（总局81号令）</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000000"/>
                <w:kern w:val="0"/>
                <w:sz w:val="21"/>
                <w:szCs w:val="21"/>
                <w:highlight w:val="none"/>
              </w:rPr>
              <w:t>对食用农产品销售者建立食用农产品进货查验记录制度的行政检查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54</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sz w:val="21"/>
                <w:szCs w:val="21"/>
                <w:highlight w:val="none"/>
              </w:rPr>
              <w:t>对餐饮服务经营者开展食品安全信用监管的行政检查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《江西省市场监管局等三部门关于加强校园食品安全信用监管的实施意见》《学校食品安全与营养健康管理规定》</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全区学校食堂</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对学校食堂开展食品安全检查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1070"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55</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对餐饮服务经营者日常经营行为的行政检查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《食品安全法》、《食品安全法实施条例》、《食品安全国家标准餐饮服务通用卫生规范GB31654-2021》</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全区集中用餐单位食堂</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
              </w:rPr>
              <w:t>对集中用餐单位食堂开展食品安全检查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both"/>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 xml:space="preserve"> 56</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对食品（含食品添加剂，不含特殊食品）生产企业的行政检查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《食品安全法》、《食品安全法实施条例》、《食品生产经营监督检查管理办法》、《食品生产通用卫生规范》</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i w:val="0"/>
                <w:iCs w:val="0"/>
                <w:color w:val="000000"/>
                <w:kern w:val="0"/>
                <w:sz w:val="21"/>
                <w:szCs w:val="21"/>
                <w:u w:val="none"/>
                <w:lang w:val="en-US" w:eastAsia="zh-CN" w:bidi="ar"/>
              </w:rPr>
              <w:t>食品生产企业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对食品生产企业资质、原材料索证索票等情况进行检查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780" w:hRule="exac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57</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对餐饮服务经营者遵守本法情况的行政检查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《中华人民共和国食品安全法》、《GB31654-2021餐饮服务通用卫生规范》</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餐饮服务经营企业、个体工商户</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rPr>
              <w:t>对餐饮服务经营者遵守本法情况的行政检查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重点检查事项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eastAsia="zh-CN"/>
              </w:rPr>
            </w:pPr>
            <w:r>
              <w:rPr>
                <w:rFonts w:hint="eastAsia" w:ascii="仿宋" w:hAnsi="仿宋" w:eastAsia="仿宋" w:cs="仿宋"/>
                <w:color w:val="000000"/>
                <w:kern w:val="0"/>
                <w:sz w:val="21"/>
                <w:szCs w:val="21"/>
                <w:highlight w:val="none"/>
                <w:lang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58</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对向消费者显示搜索结果的行政检查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《电子商务法》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lang w:val="en-US" w:eastAsia="zh-CN" w:bidi="ar"/>
              </w:rPr>
              <w:t>电子商务平台</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suppressLineNumbers w:val="0"/>
              <w:kinsoku/>
              <w:wordWrap w:val="0"/>
              <w:overflowPunct/>
              <w:topLinePunct w:val="0"/>
              <w:autoSpaceDE/>
              <w:autoSpaceDN/>
              <w:bidi w:val="0"/>
              <w:adjustRightInd/>
              <w:snapToGrid/>
              <w:spacing w:before="0" w:beforeAutospacing="0" w:after="0" w:afterAutospacing="0" w:line="240" w:lineRule="exact"/>
              <w:ind w:left="0" w:leftChars="0" w:right="0" w:rightChars="0"/>
              <w:jc w:val="left"/>
              <w:textAlignment w:val="center"/>
              <w:rPr>
                <w:rFonts w:hint="eastAsia" w:ascii="仿宋" w:hAnsi="仿宋" w:eastAsia="仿宋" w:cs="仿宋"/>
                <w:color w:val="000000"/>
                <w:kern w:val="0"/>
                <w:sz w:val="21"/>
                <w:szCs w:val="21"/>
                <w:highlight w:val="none"/>
                <w:lang w:val="en-US" w:eastAsia="zh-CN" w:bidi="ar"/>
              </w:rPr>
            </w:pPr>
            <w:r>
              <w:rPr>
                <w:rFonts w:hint="eastAsia" w:ascii="仿宋" w:hAnsi="仿宋" w:eastAsia="仿宋" w:cs="仿宋"/>
                <w:color w:val="000000"/>
                <w:kern w:val="0"/>
                <w:sz w:val="21"/>
                <w:szCs w:val="21"/>
                <w:highlight w:val="none"/>
              </w:rPr>
              <w:t>对向消费者显示搜索结果的行政检查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jc w:val="center"/>
              <w:textAlignment w:val="center"/>
              <w:rPr>
                <w:rFonts w:hint="default"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2"/>
                <w:sz w:val="21"/>
                <w:szCs w:val="21"/>
                <w:highlight w:val="none"/>
                <w:lang w:val="en-US" w:eastAsia="zh-CN" w:bidi="ar-SA"/>
              </w:rPr>
              <w:t>59</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对化妆品经营企业的行政检查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《化妆品监督管理条例》</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化妆品经营企业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化妆品经营使用情况的检查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2"/>
                <w:sz w:val="21"/>
                <w:szCs w:val="21"/>
                <w:highlight w:val="none"/>
                <w:lang w:val="en-US" w:eastAsia="zh-CN" w:bidi="ar-SA"/>
              </w:rPr>
            </w:pPr>
            <w:r>
              <w:rPr>
                <w:rFonts w:hint="eastAsia" w:ascii="仿宋" w:hAnsi="仿宋" w:eastAsia="仿宋" w:cs="仿宋"/>
                <w:kern w:val="0"/>
                <w:sz w:val="21"/>
                <w:szCs w:val="21"/>
                <w:highlight w:val="none"/>
                <w:lang w:eastAsia="zh-CN"/>
              </w:rPr>
              <w:t>药械股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60</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对单位使用医疗器械的行政检查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《医疗器械监督管理条例》《医疗器械使用质量监督管理办法》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医疗器械使用单位</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医疗器械使用质量安全的检查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kern w:val="0"/>
                <w:sz w:val="21"/>
                <w:szCs w:val="21"/>
                <w:highlight w:val="none"/>
                <w:lang w:eastAsia="zh-CN"/>
              </w:rPr>
              <w:t>药械股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61</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对第二类医疗器械经营备案情况的行政检查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《医疗器械监督管理条例》</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第二类医疗器械经营企业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000000"/>
                <w:kern w:val="0"/>
                <w:sz w:val="21"/>
                <w:szCs w:val="21"/>
                <w:highlight w:val="none"/>
              </w:rPr>
              <w:t>对第二类医疗器械经营备案情况的行政检查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kern w:val="0"/>
                <w:sz w:val="21"/>
                <w:szCs w:val="21"/>
                <w:highlight w:val="none"/>
                <w:lang w:eastAsia="zh-CN"/>
              </w:rPr>
            </w:pPr>
            <w:r>
              <w:rPr>
                <w:rFonts w:hint="eastAsia" w:ascii="仿宋" w:hAnsi="仿宋" w:eastAsia="仿宋" w:cs="仿宋"/>
                <w:kern w:val="0"/>
                <w:sz w:val="21"/>
                <w:szCs w:val="21"/>
                <w:highlight w:val="none"/>
                <w:lang w:eastAsia="zh-CN"/>
              </w:rPr>
              <w:t>药械股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62</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对第三类医疗器械经营企业的行政检查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《医疗器械监督管理条例》</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第三类医疗器械经营企业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000000"/>
                <w:kern w:val="0"/>
                <w:sz w:val="21"/>
                <w:szCs w:val="21"/>
                <w:highlight w:val="none"/>
              </w:rPr>
              <w:t>对第三类医疗器械经营企业的行政检查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kern w:val="0"/>
                <w:sz w:val="21"/>
                <w:szCs w:val="21"/>
                <w:highlight w:val="none"/>
                <w:lang w:eastAsia="zh-CN"/>
              </w:rPr>
            </w:pPr>
            <w:r>
              <w:rPr>
                <w:rFonts w:hint="eastAsia" w:ascii="仿宋" w:hAnsi="仿宋" w:eastAsia="仿宋" w:cs="仿宋"/>
                <w:kern w:val="0"/>
                <w:sz w:val="21"/>
                <w:szCs w:val="21"/>
                <w:highlight w:val="none"/>
                <w:lang w:eastAsia="zh-CN"/>
              </w:rPr>
              <w:t>药械股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63</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对药品零售企业的行政检查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w:t>
            </w:r>
            <w:r>
              <w:rPr>
                <w:rFonts w:hint="eastAsia" w:ascii="仿宋" w:hAnsi="仿宋" w:eastAsia="仿宋" w:cs="仿宋"/>
                <w:i w:val="0"/>
                <w:iCs w:val="0"/>
                <w:color w:val="000000"/>
                <w:kern w:val="0"/>
                <w:sz w:val="21"/>
                <w:szCs w:val="21"/>
                <w:u w:val="none"/>
                <w:lang w:val="en-US" w:eastAsia="zh-CN" w:bidi="ar"/>
              </w:rPr>
              <w:t>药品管理法</w:t>
            </w:r>
            <w:r>
              <w:rPr>
                <w:rFonts w:hint="eastAsia" w:ascii="仿宋" w:hAnsi="仿宋" w:eastAsia="仿宋" w:cs="仿宋"/>
                <w:color w:val="auto"/>
                <w:kern w:val="0"/>
                <w:sz w:val="21"/>
                <w:szCs w:val="21"/>
                <w:highlight w:val="none"/>
                <w:lang w:eastAsia="zh-CN"/>
              </w:rPr>
              <w:t>》</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val="en-US" w:eastAsia="zh-CN"/>
              </w:rPr>
              <w:t>药品零售企业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000000"/>
                <w:kern w:val="0"/>
                <w:sz w:val="21"/>
                <w:szCs w:val="21"/>
                <w:highlight w:val="none"/>
              </w:rPr>
              <w:t>对药品零售企业的行政检查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kern w:val="0"/>
                <w:sz w:val="21"/>
                <w:szCs w:val="21"/>
                <w:highlight w:val="none"/>
                <w:lang w:eastAsia="zh-CN"/>
              </w:rPr>
            </w:pPr>
            <w:r>
              <w:rPr>
                <w:rFonts w:hint="eastAsia" w:ascii="仿宋" w:hAnsi="仿宋" w:eastAsia="仿宋" w:cs="仿宋"/>
                <w:kern w:val="0"/>
                <w:sz w:val="21"/>
                <w:szCs w:val="21"/>
                <w:highlight w:val="none"/>
                <w:lang w:eastAsia="zh-CN"/>
              </w:rPr>
              <w:t>药械股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64</w:t>
            </w:r>
          </w:p>
        </w:tc>
        <w:tc>
          <w:tcPr>
            <w:tcW w:w="280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对保健食品经营者的行政检查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000000"/>
                <w:kern w:val="0"/>
                <w:sz w:val="21"/>
                <w:szCs w:val="21"/>
                <w:highlight w:val="none"/>
                <w:lang w:val="en-US" w:eastAsia="zh-CN" w:bidi="ar"/>
              </w:rPr>
              <w:t>《食品安全法》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lang w:eastAsia="zh-CN"/>
              </w:rPr>
              <w:t>对保健食品经营者</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auto"/>
                <w:kern w:val="0"/>
                <w:sz w:val="21"/>
                <w:szCs w:val="21"/>
                <w:highlight w:val="none"/>
                <w:lang w:eastAsia="zh-CN"/>
              </w:rPr>
            </w:pPr>
            <w:r>
              <w:rPr>
                <w:rFonts w:hint="eastAsia" w:ascii="仿宋" w:hAnsi="仿宋" w:eastAsia="仿宋" w:cs="仿宋"/>
                <w:color w:val="000000"/>
                <w:kern w:val="0"/>
                <w:sz w:val="21"/>
                <w:szCs w:val="21"/>
                <w:highlight w:val="none"/>
              </w:rPr>
              <w:t>对保健食品经营者的行政检查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重点检查事项</w:t>
            </w:r>
          </w:p>
        </w:tc>
        <w:tc>
          <w:tcPr>
            <w:tcW w:w="15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kern w:val="0"/>
                <w:sz w:val="21"/>
                <w:szCs w:val="21"/>
                <w:highlight w:val="none"/>
                <w:lang w:val="en-US" w:eastAsia="zh-CN"/>
              </w:rPr>
            </w:pPr>
            <w:r>
              <w:rPr>
                <w:rFonts w:hint="eastAsia" w:ascii="仿宋" w:hAnsi="仿宋" w:eastAsia="仿宋" w:cs="仿宋"/>
                <w:kern w:val="0"/>
                <w:sz w:val="21"/>
                <w:szCs w:val="21"/>
                <w:highlight w:val="none"/>
                <w:lang w:val="en-US"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65</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对出售、收购国家重点保护野生植物行为的行政检查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《中华人民共和国野生植物保护条例》</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对出售、收购国家重点保护野生植物行为的行政检查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rPr>
              <w:t>市场股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66</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对生产、经营使用国家重点保护野生动物及其制品制作食品行为的行政检查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对生产、经营使用国家重点保护野生动物及其制品制作食品行为的行政检查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市场股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67</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对为食用非法购买国家重点保护的野生动物及其制品行为的行政检查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对为食用非法购买国家重点保护的野生动物及其制品行为的行政检查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市场股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68</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对未持有合法来源证明出售、利用、运输非国家重点保护野生动物行为的行政检查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对未持有合法来源证明出售、利用、运输非国家重点保护野生动物行为的行政检查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市场股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69</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对使用没有合法来源证明的非国家重点保护野生动物及其制品制作食品行为的行政检查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sz w:val="21"/>
                <w:szCs w:val="21"/>
                <w:highlight w:val="none"/>
                <w:lang w:val="en-US" w:eastAsia="zh-CN"/>
              </w:rPr>
              <w:t>全区</w:t>
            </w:r>
            <w:r>
              <w:rPr>
                <w:rFonts w:hint="eastAsia" w:ascii="仿宋" w:hAnsi="仿宋" w:eastAsia="仿宋" w:cs="仿宋"/>
                <w:color w:val="000000"/>
                <w:sz w:val="21"/>
                <w:szCs w:val="21"/>
                <w:highlight w:val="none"/>
              </w:rPr>
              <w:t>餐饮服务经营者</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对使用没有合法来源证明的非国家重点保护野生动物及其制品制作食品行为的行政检查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rPr>
              <w:t>市场股、</w:t>
            </w:r>
            <w:r>
              <w:rPr>
                <w:rFonts w:hint="eastAsia" w:ascii="仿宋" w:hAnsi="仿宋" w:eastAsia="仿宋" w:cs="仿宋"/>
                <w:color w:val="000000"/>
                <w:kern w:val="0"/>
                <w:sz w:val="21"/>
                <w:szCs w:val="21"/>
                <w:highlight w:val="none"/>
              </w:rPr>
              <w:t>食品</w:t>
            </w:r>
            <w:r>
              <w:rPr>
                <w:rFonts w:hint="eastAsia" w:ascii="仿宋" w:hAnsi="仿宋" w:eastAsia="仿宋" w:cs="仿宋"/>
                <w:color w:val="000000"/>
                <w:kern w:val="0"/>
                <w:sz w:val="21"/>
                <w:szCs w:val="21"/>
                <w:highlight w:val="none"/>
                <w:lang w:val="en-US" w:eastAsia="zh-CN"/>
              </w:rPr>
              <w:t>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70</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为出售、购买、利用野生动物及其制品或者禁止使用的猎捕工具发布广告的行政检查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为出售、购买、利用野生动物及其制品或者禁止使用的猎捕工具发布广告的行政检查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市场股、</w:t>
            </w:r>
            <w:r>
              <w:rPr>
                <w:rFonts w:hint="eastAsia" w:ascii="仿宋" w:hAnsi="仿宋" w:eastAsia="仿宋" w:cs="仿宋"/>
                <w:color w:val="000000"/>
                <w:kern w:val="0"/>
                <w:sz w:val="21"/>
                <w:szCs w:val="21"/>
                <w:highlight w:val="none"/>
                <w:lang w:eastAsia="zh-CN"/>
              </w:rPr>
              <w:t>网络交易监督管理股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71</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对出售、购买、利用、运输、携带、寄递国家重点保护野生动物及其制品或者相关法律规定的野生动物及其制品等行为的行政检查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《中华人民共和国野生动物保护法》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auto"/>
                <w:kern w:val="0"/>
                <w:sz w:val="21"/>
                <w:szCs w:val="21"/>
                <w:highlight w:val="none"/>
              </w:rPr>
              <w:t>农贸</w:t>
            </w:r>
            <w:r>
              <w:rPr>
                <w:rFonts w:hint="eastAsia" w:ascii="仿宋" w:hAnsi="仿宋" w:eastAsia="仿宋" w:cs="仿宋"/>
                <w:color w:val="auto"/>
                <w:kern w:val="0"/>
                <w:sz w:val="21"/>
                <w:szCs w:val="21"/>
                <w:highlight w:val="none"/>
                <w:lang w:eastAsia="zh"/>
              </w:rPr>
              <w:t>、农批</w:t>
            </w:r>
            <w:r>
              <w:rPr>
                <w:rFonts w:hint="eastAsia" w:ascii="仿宋" w:hAnsi="仿宋" w:eastAsia="仿宋" w:cs="仿宋"/>
                <w:color w:val="auto"/>
                <w:kern w:val="0"/>
                <w:sz w:val="21"/>
                <w:szCs w:val="21"/>
                <w:highlight w:val="none"/>
              </w:rPr>
              <w:t>市场</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对出售、购买、利用、运输、携带、寄递国家重点保护野生动物及其制品或者相关法律规定的野生动物及其制品等行为的行政检查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市场股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72</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对保健食品经营企业的行政检查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《食品安全法》、《食品安全法实施条例》、《食品生产经营监督检查管理办法》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保健食品经营企业</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对保健食品经营企业的行政检查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食品股</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73</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对非法定计量单位的计量器具的行政检查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《中华人民共和国计量法》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企业、个体工商户</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对非法定计量单位的计量器具的行政检查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default"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检验检测中心</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74</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对制造、修理、销售、进口和使用计量器具，以及计量检定等相关计量活动的行政检查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《中华人民共和国计量法》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企业、个体工商户</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对制造、修理、销售、进口和使用计量器具，以及计量检定等相关计量活动的行政检查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检验检测中心</w:t>
            </w:r>
          </w:p>
        </w:tc>
      </w:tr>
      <w:tr>
        <w:tblPrEx>
          <w:tblLayout w:type="fixed"/>
          <w:tblCellMar>
            <w:top w:w="0" w:type="dxa"/>
            <w:left w:w="108" w:type="dxa"/>
            <w:bottom w:w="0" w:type="dxa"/>
            <w:right w:w="108" w:type="dxa"/>
          </w:tblCellMar>
        </w:tblPrEx>
        <w:trPr>
          <w:cantSplit/>
          <w:trHeight w:val="652" w:hRule="atLeast"/>
          <w:jc w:val="center"/>
        </w:trPr>
        <w:tc>
          <w:tcPr>
            <w:tcW w:w="54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default" w:ascii="仿宋" w:hAnsi="仿宋" w:eastAsia="仿宋" w:cs="仿宋"/>
                <w:color w:val="000000"/>
                <w:kern w:val="0"/>
                <w:sz w:val="21"/>
                <w:szCs w:val="21"/>
                <w:highlight w:val="none"/>
                <w:lang w:val="en-US" w:eastAsia="zh-CN" w:bidi="ar-SA"/>
              </w:rPr>
            </w:pPr>
            <w:r>
              <w:rPr>
                <w:rFonts w:hint="eastAsia" w:ascii="仿宋" w:hAnsi="仿宋" w:eastAsia="仿宋" w:cs="仿宋"/>
                <w:color w:val="000000"/>
                <w:kern w:val="0"/>
                <w:sz w:val="21"/>
                <w:szCs w:val="21"/>
                <w:highlight w:val="none"/>
                <w:lang w:val="en-US" w:eastAsia="zh-CN" w:bidi="ar-SA"/>
              </w:rPr>
              <w:t>75</w:t>
            </w:r>
          </w:p>
        </w:tc>
        <w:tc>
          <w:tcPr>
            <w:tcW w:w="280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对不正当竞争行为进行行政检查</w:t>
            </w:r>
          </w:p>
        </w:tc>
        <w:tc>
          <w:tcPr>
            <w:tcW w:w="26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《反不正当竞争法》</w:t>
            </w:r>
          </w:p>
        </w:tc>
        <w:tc>
          <w:tcPr>
            <w:tcW w:w="269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sz w:val="21"/>
                <w:szCs w:val="21"/>
                <w:highlight w:val="none"/>
                <w:lang w:val="en-US" w:eastAsia="zh-CN"/>
              </w:rPr>
            </w:pPr>
            <w:r>
              <w:rPr>
                <w:rFonts w:hint="eastAsia" w:ascii="仿宋" w:hAnsi="仿宋" w:eastAsia="仿宋" w:cs="仿宋"/>
                <w:color w:val="000000"/>
                <w:sz w:val="21"/>
                <w:szCs w:val="21"/>
                <w:highlight w:val="none"/>
                <w:lang w:val="en-US" w:eastAsia="zh-CN"/>
              </w:rPr>
              <w:t>企业、个体</w:t>
            </w:r>
          </w:p>
        </w:tc>
        <w:tc>
          <w:tcPr>
            <w:tcW w:w="42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left"/>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rPr>
              <w:t>对不正当竞争行为进行行政检查</w:t>
            </w:r>
          </w:p>
        </w:tc>
        <w:tc>
          <w:tcPr>
            <w:tcW w:w="95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40" w:lineRule="exact"/>
              <w:jc w:val="center"/>
              <w:textAlignment w:val="center"/>
              <w:rPr>
                <w:rFonts w:hint="eastAsia" w:ascii="仿宋" w:hAnsi="仿宋" w:eastAsia="仿宋" w:cs="仿宋"/>
                <w:color w:val="000000"/>
                <w:kern w:val="0"/>
                <w:sz w:val="21"/>
                <w:szCs w:val="21"/>
                <w:highlight w:val="none"/>
              </w:rPr>
            </w:pPr>
            <w:r>
              <w:rPr>
                <w:rFonts w:hint="eastAsia" w:ascii="仿宋" w:hAnsi="仿宋" w:eastAsia="仿宋" w:cs="仿宋"/>
                <w:color w:val="000000"/>
                <w:kern w:val="0"/>
                <w:sz w:val="21"/>
                <w:szCs w:val="21"/>
                <w:highlight w:val="none"/>
                <w:lang w:val="en-US" w:eastAsia="zh-CN"/>
              </w:rPr>
              <w:t>一般检查事项</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pPr>
              <w:keepNext w:val="0"/>
              <w:keepLines/>
              <w:pageBreakBefore w:val="0"/>
              <w:widowControl/>
              <w:kinsoku/>
              <w:wordWrap w:val="0"/>
              <w:overflowPunct/>
              <w:topLinePunct w:val="0"/>
              <w:autoSpaceDE/>
              <w:autoSpaceDN/>
              <w:bidi w:val="0"/>
              <w:adjustRightInd/>
              <w:snapToGrid/>
              <w:spacing w:line="260" w:lineRule="exact"/>
              <w:jc w:val="center"/>
              <w:textAlignment w:val="center"/>
              <w:rPr>
                <w:rFonts w:hint="eastAsia" w:ascii="仿宋" w:hAnsi="仿宋" w:eastAsia="仿宋" w:cs="仿宋"/>
                <w:color w:val="000000"/>
                <w:kern w:val="0"/>
                <w:sz w:val="21"/>
                <w:szCs w:val="21"/>
                <w:highlight w:val="none"/>
                <w:lang w:val="en-US" w:eastAsia="zh-CN"/>
              </w:rPr>
            </w:pPr>
            <w:r>
              <w:rPr>
                <w:rFonts w:hint="eastAsia" w:ascii="仿宋" w:hAnsi="仿宋" w:eastAsia="仿宋" w:cs="仿宋"/>
                <w:color w:val="000000"/>
                <w:kern w:val="0"/>
                <w:sz w:val="21"/>
                <w:szCs w:val="21"/>
                <w:highlight w:val="none"/>
                <w:lang w:val="en-US" w:eastAsia="zh-CN"/>
              </w:rPr>
              <w:t>反不正当竞争股</w:t>
            </w:r>
          </w:p>
        </w:tc>
      </w:tr>
    </w:tbl>
    <w:p>
      <w:pPr>
        <w:pStyle w:val="3"/>
        <w:rPr>
          <w:rFonts w:hint="eastAsia"/>
          <w:sz w:val="15"/>
          <w:szCs w:val="15"/>
          <w:lang w:val="en-US" w:eastAsia="zh-CN"/>
        </w:rPr>
        <w:sectPr>
          <w:pgSz w:w="16838" w:h="11906" w:orient="landscape"/>
          <w:pgMar w:top="1576" w:right="816" w:bottom="1576" w:left="816" w:header="851" w:footer="992" w:gutter="0"/>
          <w:cols w:space="425" w:num="1"/>
          <w:docGrid w:type="lines" w:linePitch="312" w:charSpace="0"/>
        </w:sectPr>
      </w:pPr>
    </w:p>
    <w:p>
      <w:pPr>
        <w:pStyle w:val="10"/>
        <w:jc w:val="left"/>
        <w:rPr>
          <w:rFonts w:hint="eastAsia" w:ascii="黑体" w:hAnsi="黑体" w:eastAsia="黑体" w:cs="黑体"/>
          <w:sz w:val="32"/>
          <w:szCs w:val="32"/>
          <w:lang w:eastAsia="zh-CN"/>
        </w:rPr>
      </w:pP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此页无正文</w:t>
      </w:r>
      <w:r>
        <w:rPr>
          <w:rFonts w:hint="eastAsia" w:ascii="黑体" w:hAnsi="黑体" w:eastAsia="黑体" w:cs="黑体"/>
          <w:sz w:val="32"/>
          <w:szCs w:val="32"/>
          <w:lang w:eastAsia="zh-CN"/>
        </w:rPr>
        <w:t>）</w:t>
      </w: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ascii="黑体" w:hAnsi="黑体" w:eastAsia="黑体" w:cs="黑体"/>
          <w:sz w:val="32"/>
          <w:szCs w:val="32"/>
        </w:rPr>
      </w:pPr>
    </w:p>
    <w:p>
      <w:pPr>
        <w:pStyle w:val="10"/>
        <w:jc w:val="left"/>
        <w:rPr>
          <w:rFonts w:hint="eastAsia" w:ascii="黑体" w:hAnsi="黑体" w:eastAsia="黑体" w:cs="黑体"/>
          <w:sz w:val="32"/>
          <w:szCs w:val="32"/>
        </w:rPr>
      </w:pPr>
      <w:r>
        <w:rPr>
          <w:rFonts w:ascii="黑体" w:hAnsi="黑体" w:eastAsia="黑体" w:cs="黑体"/>
          <w:sz w:val="32"/>
          <w:szCs w:val="32"/>
        </w:rPr>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375920</wp:posOffset>
                </wp:positionV>
                <wp:extent cx="56292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56292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29.6pt;height:0pt;width:443.25pt;z-index:251662336;mso-width-relative:page;mso-height-relative:page;" filled="f" stroked="t" coordsize="21600,21600" o:gfxdata="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aNnyLXAAAACAEA&#10;AA8AAAAAAAAAAQAgAAAAIgAAAGRycy9kb3ducmV2LnhtbFBLAQIUABQAAAAIAIdO4kDLuhsc4gEA&#10;AJ4DAAAOAAAAAAAAAAEAIAAAACYBAABkcnMvZTJvRG9jLnhtbFBLBQYAAAAABgAGAFkBAAB6BQAA&#10;AAA=&#10;">
                <v:fill on="f" focussize="0,0"/>
                <v:stroke color="#000000" joinstyle="round"/>
                <v:imagedata o:title=""/>
                <o:lock v:ext="edit" aspectratio="f"/>
              </v:shape>
            </w:pict>
          </mc:Fallback>
        </mc:AlternateContent>
      </w:r>
    </w:p>
    <w:p>
      <w:pPr>
        <w:pStyle w:val="10"/>
        <w:ind w:left="210" w:leftChars="100" w:right="210" w:rightChars="100"/>
        <w:jc w:val="left"/>
        <w:rPr>
          <w:rFonts w:hint="eastAsia" w:ascii="仿宋_GB2312" w:hAnsi="黑体" w:eastAsia="仿宋_GB2312" w:cs="黑体"/>
          <w:sz w:val="30"/>
          <w:szCs w:val="30"/>
        </w:rPr>
      </w:pPr>
      <w:r>
        <w:rPr>
          <w:rFonts w:hint="eastAsia" w:ascii="仿宋_GB2312" w:hAnsi="黑体" w:eastAsia="仿宋_GB2312" w:cs="黑体"/>
          <w:sz w:val="30"/>
          <w:szCs w:val="30"/>
        </w:rPr>
        <mc:AlternateContent>
          <mc:Choice Requires="wps">
            <w:drawing>
              <wp:anchor distT="0" distB="0" distL="114300" distR="114300" simplePos="0" relativeHeight="251661312" behindDoc="0" locked="0" layoutInCell="1" allowOverlap="1">
                <wp:simplePos x="0" y="0"/>
                <wp:positionH relativeFrom="column">
                  <wp:posOffset>-7620</wp:posOffset>
                </wp:positionH>
                <wp:positionV relativeFrom="paragraph">
                  <wp:posOffset>408940</wp:posOffset>
                </wp:positionV>
                <wp:extent cx="56292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56292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0.6pt;margin-top:32.2pt;height:0pt;width:443.25pt;z-index:251661312;mso-width-relative:page;mso-height-relative:page;" filled="f" stroked="t" coordsize="21600,21600" o:gfxdata="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CZLyA3XAAAACAEA&#10;AA8AAAAAAAAAAQAgAAAAIgAAAGRycy9kb3ducmV2LnhtbFBLAQIUABQAAAAIAIdO4kAmhY9r4gEA&#10;AJ4DAAAOAAAAAAAAAAEAIAAAACYBAABkcnMvZTJvRG9jLnhtbFBLBQYAAAAABgAGAFkBAAB6BQAA&#10;AAA=&#10;">
                <v:fill on="f" focussize="0,0"/>
                <v:stroke color="#000000" joinstyle="round"/>
                <v:imagedata o:title=""/>
                <o:lock v:ext="edit" aspectratio="f"/>
              </v:shape>
            </w:pict>
          </mc:Fallback>
        </mc:AlternateContent>
      </w:r>
      <w:r>
        <w:rPr>
          <w:rFonts w:hint="eastAsia" w:ascii="仿宋_GB2312" w:hAnsi="黑体" w:eastAsia="仿宋_GB2312" w:cs="黑体"/>
          <w:sz w:val="30"/>
          <w:szCs w:val="30"/>
        </w:rPr>
        <w:t>南昌市青云谱区市场监督管理局办公室   2026年</w:t>
      </w:r>
      <w:r>
        <w:rPr>
          <w:rFonts w:hint="eastAsia" w:ascii="仿宋_GB2312" w:hAnsi="黑体" w:eastAsia="仿宋_GB2312" w:cs="黑体"/>
          <w:sz w:val="30"/>
          <w:szCs w:val="30"/>
          <w:lang w:val="en-US" w:eastAsia="zh-CN"/>
        </w:rPr>
        <w:t>6</w:t>
      </w:r>
      <w:r>
        <w:rPr>
          <w:rFonts w:hint="eastAsia" w:ascii="仿宋_GB2312" w:hAnsi="黑体" w:eastAsia="仿宋_GB2312" w:cs="黑体"/>
          <w:sz w:val="30"/>
          <w:szCs w:val="30"/>
        </w:rPr>
        <w:t>月1</w:t>
      </w:r>
      <w:r>
        <w:rPr>
          <w:rFonts w:hint="eastAsia" w:ascii="仿宋_GB2312" w:hAnsi="黑体" w:eastAsia="仿宋_GB2312" w:cs="黑体"/>
          <w:sz w:val="30"/>
          <w:szCs w:val="30"/>
          <w:lang w:val="en-US" w:eastAsia="zh-CN"/>
        </w:rPr>
        <w:t>0</w:t>
      </w:r>
      <w:r>
        <w:rPr>
          <w:rFonts w:hint="eastAsia" w:ascii="仿宋_GB2312" w:hAnsi="黑体" w:eastAsia="仿宋_GB2312" w:cs="黑体"/>
          <w:sz w:val="30"/>
          <w:szCs w:val="30"/>
        </w:rPr>
        <w:t>日印发</w:t>
      </w:r>
    </w:p>
    <w:p>
      <w:pPr>
        <w:pStyle w:val="3"/>
        <w:rPr>
          <w:rFonts w:hint="eastAsia"/>
          <w:sz w:val="15"/>
          <w:szCs w:val="15"/>
          <w:lang w:val="en-US" w:eastAsia="zh-CN"/>
        </w:rPr>
      </w:pPr>
    </w:p>
    <w:sectPr>
      <w:pgSz w:w="11906" w:h="16838"/>
      <w:pgMar w:top="2098" w:right="1474" w:bottom="1984" w:left="158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26374"/>
    <w:rsid w:val="0644429B"/>
    <w:rsid w:val="06BF1720"/>
    <w:rsid w:val="070A631C"/>
    <w:rsid w:val="077C69D1"/>
    <w:rsid w:val="07D6476B"/>
    <w:rsid w:val="08BD11E5"/>
    <w:rsid w:val="0923440D"/>
    <w:rsid w:val="0B6A7B4A"/>
    <w:rsid w:val="0BD535F5"/>
    <w:rsid w:val="0D6B2B13"/>
    <w:rsid w:val="0DD15D3A"/>
    <w:rsid w:val="0F6925D8"/>
    <w:rsid w:val="108D683E"/>
    <w:rsid w:val="128A74D9"/>
    <w:rsid w:val="12C329EB"/>
    <w:rsid w:val="15651629"/>
    <w:rsid w:val="15C838CC"/>
    <w:rsid w:val="161A5018"/>
    <w:rsid w:val="166D15EC"/>
    <w:rsid w:val="18B105F4"/>
    <w:rsid w:val="1B602BF9"/>
    <w:rsid w:val="1DDF3F11"/>
    <w:rsid w:val="20446BFF"/>
    <w:rsid w:val="258E50DA"/>
    <w:rsid w:val="26D1527F"/>
    <w:rsid w:val="28A661CE"/>
    <w:rsid w:val="29673C78"/>
    <w:rsid w:val="2AA22981"/>
    <w:rsid w:val="2ABA24CE"/>
    <w:rsid w:val="2B621401"/>
    <w:rsid w:val="2C5129BE"/>
    <w:rsid w:val="2FBE036A"/>
    <w:rsid w:val="334D3839"/>
    <w:rsid w:val="36327D7A"/>
    <w:rsid w:val="37CB4618"/>
    <w:rsid w:val="38161214"/>
    <w:rsid w:val="3C403AFB"/>
    <w:rsid w:val="3E895FE7"/>
    <w:rsid w:val="407E19E2"/>
    <w:rsid w:val="40F76D23"/>
    <w:rsid w:val="41C35172"/>
    <w:rsid w:val="44726DE6"/>
    <w:rsid w:val="46E22739"/>
    <w:rsid w:val="47081961"/>
    <w:rsid w:val="48BF2D31"/>
    <w:rsid w:val="4C365A00"/>
    <w:rsid w:val="4D080137"/>
    <w:rsid w:val="4ED107DE"/>
    <w:rsid w:val="513403C7"/>
    <w:rsid w:val="5224454D"/>
    <w:rsid w:val="52BB0A0D"/>
    <w:rsid w:val="55FE3424"/>
    <w:rsid w:val="56C02A96"/>
    <w:rsid w:val="587D473C"/>
    <w:rsid w:val="59FB29AF"/>
    <w:rsid w:val="5A957D96"/>
    <w:rsid w:val="5B93724D"/>
    <w:rsid w:val="5BF92475"/>
    <w:rsid w:val="5CC3793F"/>
    <w:rsid w:val="5F2A35B1"/>
    <w:rsid w:val="5F455131"/>
    <w:rsid w:val="60C07B37"/>
    <w:rsid w:val="632A1297"/>
    <w:rsid w:val="63612F0B"/>
    <w:rsid w:val="640E1B35"/>
    <w:rsid w:val="65F12FD0"/>
    <w:rsid w:val="66CF3BE6"/>
    <w:rsid w:val="68A44B73"/>
    <w:rsid w:val="68B97F60"/>
    <w:rsid w:val="68C877E1"/>
    <w:rsid w:val="698663AF"/>
    <w:rsid w:val="6ABA2F28"/>
    <w:rsid w:val="6D561607"/>
    <w:rsid w:val="6DEB4065"/>
    <w:rsid w:val="6E6C58B8"/>
    <w:rsid w:val="6F383D07"/>
    <w:rsid w:val="6FE93B2A"/>
    <w:rsid w:val="70B51F79"/>
    <w:rsid w:val="737D6F09"/>
    <w:rsid w:val="74B00580"/>
    <w:rsid w:val="797B145D"/>
    <w:rsid w:val="7AD324E9"/>
    <w:rsid w:val="7B5456AB"/>
    <w:rsid w:val="7BFB2776"/>
    <w:rsid w:val="7CC70BC5"/>
    <w:rsid w:val="7DEE1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微软雅黑"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customStyle="1" w:styleId="2">
    <w:name w:val="BodyText"/>
    <w:basedOn w:val="1"/>
    <w:next w:val="1"/>
    <w:qFormat/>
    <w:uiPriority w:val="0"/>
    <w:pPr>
      <w:widowControl/>
      <w:spacing w:after="120"/>
      <w:textAlignment w:val="baseline"/>
    </w:pPr>
  </w:style>
  <w:style w:type="paragraph" w:styleId="3">
    <w:name w:val="Body Text"/>
    <w:basedOn w:val="1"/>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 w:type="character" w:customStyle="1" w:styleId="7">
    <w:name w:val="font141"/>
    <w:basedOn w:val="6"/>
    <w:qFormat/>
    <w:uiPriority w:val="0"/>
    <w:rPr>
      <w:rFonts w:ascii="仿宋_GB2312" w:hAnsi="仿宋_GB2312" w:eastAsia="仿宋_GB2312" w:cs="仿宋_GB2312"/>
      <w:color w:val="000000"/>
      <w:sz w:val="20"/>
      <w:szCs w:val="20"/>
      <w:u w:val="none"/>
    </w:rPr>
  </w:style>
  <w:style w:type="character" w:customStyle="1" w:styleId="8">
    <w:name w:val="font21"/>
    <w:basedOn w:val="6"/>
    <w:qFormat/>
    <w:uiPriority w:val="0"/>
    <w:rPr>
      <w:rFonts w:hint="eastAsia" w:ascii="微软雅黑" w:hAnsi="微软雅黑" w:eastAsia="微软雅黑" w:cs="微软雅黑"/>
      <w:color w:val="000000"/>
      <w:sz w:val="24"/>
      <w:szCs w:val="24"/>
      <w:u w:val="none"/>
    </w:rPr>
  </w:style>
  <w:style w:type="character" w:customStyle="1" w:styleId="9">
    <w:name w:val="font41"/>
    <w:basedOn w:val="6"/>
    <w:qFormat/>
    <w:uiPriority w:val="0"/>
    <w:rPr>
      <w:rFonts w:ascii="仿宋_GB2312" w:hAnsi="仿宋_GB2312" w:eastAsia="仿宋_GB2312" w:cs="仿宋_GB2312"/>
      <w:color w:val="000000"/>
      <w:sz w:val="20"/>
      <w:szCs w:val="20"/>
      <w:u w:val="none"/>
    </w:rPr>
  </w:style>
  <w:style w:type="paragraph" w:customStyle="1" w:styleId="10">
    <w:name w:val="样式 行距: 固定值 28.9 磅"/>
    <w:basedOn w:val="1"/>
    <w:qFormat/>
    <w:uiPriority w:val="99"/>
    <w:pPr>
      <w:spacing w:line="578" w:lineRule="exact"/>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10673</Words>
  <Characters>10885</Characters>
  <Lines>0</Lines>
  <Paragraphs>0</Paragraphs>
  <TotalTime>96</TotalTime>
  <ScaleCrop>false</ScaleCrop>
  <LinksUpToDate>false</LinksUpToDate>
  <CharactersWithSpaces>11007</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2026-06-10T07:16:00Z</dcterms:created>
  <dc:creator>Administrator</dc:creator>
  <cp:lastModifiedBy>Administrator</cp:lastModifiedBy>
  <cp:lastPrinted>2026-07-30T02:03:00Z</cp:lastPrinted>
  <dcterms:modified xsi:type="dcterms:W3CDTF">2026-07-30T03:40:38Z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y fmtid="{D5CDD505-2E9C-101B-9397-08002B2CF9AE}" pid="3" name="KSOTemplateDocerSaveRecord">
    <vt:lpwstr>eyJoZGlkIjoiNzIwNmIxZjAzZmQxM2IyM2M1NTJkYjM5ODU5YWZmZTgiLCJ1c2VySWQiOiI2ODUxNDA4MTMifQ==</vt:lpwstr>
  </property>
  <property fmtid="{D5CDD505-2E9C-101B-9397-08002B2CF9AE}" pid="4" name="ICV">
    <vt:lpwstr>685570F819AF4D9FADA0D8762EBF5AF2_12</vt:lpwstr>
  </property>
</Properties>
</file>